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1636/QĐ-UBND-2</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người lao động tạm hoãn thực hiện hợp đồng lao động hoặc nghỉ việc không hưởng lương do đại dịch COVID-19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1</w:t>
      </w:r>
    </w:p>
    <w:p>
      <w:pPr>
        <w:spacing w:after="0" w:before="0" w:lineRule="auto" w:line="276"/>
        <w:jc w:val="both"/>
      </w:pPr>
      <w:r>
        <w:rPr>
          <w:rFonts w:ascii="Times New Roman" w:hAnsi="Times New Roman" w:cs="Times New Roman" w:eastAsia="Times New Roman"/>
          <w:b w:val="false"/>
          <w:sz w:val="26"/>
        </w:rPr>
        <w:t>Bước 1: Doanh nghiệp lập Danh sách người lao động tạm hoãn thực hiện hợp đồng lao động, nghỉ không hưởng lương bảo đảm điều kiện theo quy định; đề nghị tổ chức công đoàn cơ sở xác nhận (nếu có) và gửi cơ quan BHXH cấp huyện (qua Trung tâm Hành chính công cấp huyện)</w:t>
      </w:r>
    </w:p>
    <w:p>
      <w:pPr>
        <w:spacing w:after="0" w:before="0" w:lineRule="auto" w:line="276"/>
        <w:jc w:val="both"/>
      </w:pPr>
      <w:r>
        <w:rPr>
          <w:rFonts w:ascii="Times New Roman" w:hAnsi="Times New Roman" w:cs="Times New Roman" w:eastAsia="Times New Roman"/>
          <w:b w:val="false"/>
          <w:sz w:val="26"/>
        </w:rPr>
        <w:t>Bước 2: Chuyển hồ sơ từ Trung tâm Hành chính công cấp huyện về bộ phận chuyên môn của cơ quan BHXH huyện đồng thời chuyển qua phần mềm cho phòng để xử lý.</w:t>
      </w:r>
    </w:p>
    <w:p>
      <w:pPr>
        <w:spacing w:after="0" w:before="0" w:lineRule="auto" w:line="276"/>
        <w:jc w:val="both"/>
      </w:pPr>
      <w:r>
        <w:rPr>
          <w:rFonts w:ascii="Times New Roman" w:hAnsi="Times New Roman" w:cs="Times New Roman" w:eastAsia="Times New Roman"/>
          <w:b w:val="false"/>
          <w:sz w:val="26"/>
        </w:rPr>
        <w:t>Bước 3: Cơ quan chuyên môn thuộc Bảo hiểm xã hội cấp huyện xác nhận việc tham gia bảo hiểm xã hội của người lao động và gửi doanh nghiệp</w:t>
      </w:r>
    </w:p>
    <w:p>
      <w:pPr>
        <w:spacing w:after="0" w:before="0" w:lineRule="auto" w:line="276"/>
        <w:jc w:val="both"/>
      </w:pPr>
      <w:r>
        <w:rPr>
          <w:rFonts w:ascii="Times New Roman" w:hAnsi="Times New Roman" w:cs="Times New Roman" w:eastAsia="Times New Roman"/>
          <w:b w:val="false"/>
          <w:sz w:val="26"/>
        </w:rPr>
        <w:t>Bước 4: Tiếp nhận hồ sơ:	
Doanh nghiệp nộp hồ sơ tại Trung tâm Hành chính công cấp huyện.  Công chức TN&amp;TKQ kiểm tra hồ sơ:
- Nếu hồ sơ đầy đủ, hợp lệ làm thủ tục tiếp nhận hồ sơ và hẹn ngày trả kết quả.
- Nếu hồ sơ chưa đầy đủ, hợp lệ thì yêu cầu tổ chức, cá nhân bổ sung, hoàn thiện hồ sơ. Nếu không bổ sung, hoàn thiện được thì từ chối tiếp nhận hồ sơ.</w:t>
      </w:r>
    </w:p>
    <w:p>
      <w:pPr>
        <w:spacing w:after="0" w:before="0" w:lineRule="auto" w:line="276"/>
        <w:jc w:val="both"/>
      </w:pPr>
      <w:r>
        <w:rPr>
          <w:rFonts w:ascii="Times New Roman" w:hAnsi="Times New Roman" w:cs="Times New Roman" w:eastAsia="Times New Roman"/>
          <w:b w:val="false"/>
          <w:sz w:val="26"/>
        </w:rPr>
        <w:t>Bước 5: Chuyển hồ sơ từ Trung tâm Hành chính công cấp huyện về bộ phận chuyên môn đồng thời chuyển qua phần mềm cho phòng để xử lý.</w:t>
      </w:r>
    </w:p>
    <w:p>
      <w:pPr>
        <w:spacing w:after="0" w:before="0" w:lineRule="auto" w:line="276"/>
        <w:jc w:val="both"/>
      </w:pPr>
      <w:r>
        <w:rPr>
          <w:rFonts w:ascii="Times New Roman" w:hAnsi="Times New Roman" w:cs="Times New Roman" w:eastAsia="Times New Roman"/>
          <w:b w:val="false"/>
          <w:sz w:val="26"/>
        </w:rPr>
        <w:t>Bước 6: UBND cấp huyện thẩm định trình UBND tỉnh xem xét, quyết định (nếu đủ điều kiện)/ hoặc có văn bản trả lời doanh nghiệp nếu chưa đủ điều kiện</w:t>
      </w:r>
    </w:p>
    <w:p>
      <w:pPr>
        <w:spacing w:after="0" w:before="0" w:lineRule="auto" w:line="276"/>
        <w:jc w:val="both"/>
      </w:pPr>
      <w:r>
        <w:rPr>
          <w:rFonts w:ascii="Times New Roman" w:hAnsi="Times New Roman" w:cs="Times New Roman" w:eastAsia="Times New Roman"/>
          <w:b w:val="false"/>
          <w:sz w:val="26"/>
        </w:rPr>
        <w:t>Bước 7: Nộp hồ sơ tại Bộ phận Tiếp nhận và Trả kết quả của Sở Lao động - Thương binh và xã hội tại Trung tâm Phục vụ hành chính công tỉnh. Công chức TN&amp;TKQ kiểm tra hồ sơ:
- Nếu hồ sơ đầy đủ, hợp lệ làm thủ tục tiếp nhận hồ sơ và hẹn ngày trả kết quả.
- Nếu hồ sơ chưa đầy đủ, hợp lệ thì yêu cầu tổ chức, cá nhân bổ sung, hoàn thiện hồ sơ. Nếu không bổ sung, hoàn thiện được thì từ chối tiếp nhận hồ sơ.</w:t>
      </w:r>
    </w:p>
    <w:p>
      <w:pPr>
        <w:spacing w:after="0" w:before="0" w:lineRule="auto" w:line="276"/>
        <w:jc w:val="both"/>
      </w:pPr>
      <w:r>
        <w:rPr>
          <w:rFonts w:ascii="Times New Roman" w:hAnsi="Times New Roman" w:cs="Times New Roman" w:eastAsia="Times New Roman"/>
          <w:b w:val="false"/>
          <w:sz w:val="26"/>
        </w:rPr>
        <w:t>Bước 8: Sở Lao động - Thương binh và Xã hội phối hợp tổ thẩm định hồ sơ cấp tỉnh thẩm định hồ sơ. Nếu hồ sơ đầy đủ, hợp lệ, tổng hợp trình UBND tỉnh. Nếu hồ sơ chưa đầy đủ, hợp lệ thì hướng dẫn hoàn thiện</w:t>
      </w:r>
    </w:p>
    <w:p>
      <w:pPr>
        <w:spacing w:after="0" w:before="0" w:lineRule="auto" w:line="276"/>
        <w:jc w:val="both"/>
      </w:pPr>
      <w:r>
        <w:rPr>
          <w:rFonts w:ascii="Times New Roman" w:hAnsi="Times New Roman" w:cs="Times New Roman" w:eastAsia="Times New Roman"/>
          <w:b w:val="false"/>
          <w:sz w:val="26"/>
        </w:rPr>
        <w:t>Bước 9: Nộp hồ sơ tại Bộ phận Tiếp nhận và Trả kết quả của UBND tỉnh tại Trung tâm Phục vụ hành chính công tỉnh. Công chức TN&amp;TKQ kiểm tra hồ sơ:
- Nếu hồ sơ đầy đủ, hợp lệ làm thủ tục tiếp nhận hồ sơ và hẹn ngày trả kết quả.
- Nếu hồ sơ chưa đầy đủ, hợp lệ thì yêu cầu tổ chức, cá nhân bổ sung, hoàn thiện hồ sơ. Nếu không bổ sung, hoàn thiện được thì từ chối tiếp nhận hồ sơ.</w:t>
      </w:r>
    </w:p>
    <w:p>
      <w:pPr>
        <w:spacing w:after="0" w:before="0" w:lineRule="auto" w:line="276"/>
        <w:jc w:val="both"/>
      </w:pPr>
      <w:r>
        <w:rPr>
          <w:rFonts w:ascii="Times New Roman" w:hAnsi="Times New Roman" w:cs="Times New Roman" w:eastAsia="Times New Roman"/>
          <w:b w:val="false"/>
          <w:sz w:val="26"/>
        </w:rPr>
        <w:t>Bước 10: UBND tỉnh thẩm định, ban hành quyết định phê duyệt Danh sách và kinh phí hỗ trợ chuyển UBND cấp huyện; đồng thời chỉ đạo thực hiện chi trả hỗ trợ Văn bản trả lời nếu không đủ điều kiện</w:t>
      </w:r>
    </w:p>
    <w:p>
      <w:pPr>
        <w:spacing w:after="0" w:before="0" w:lineRule="auto" w:line="276"/>
        <w:jc w:val="both"/>
      </w:pPr>
      <w:r>
        <w:rPr>
          <w:rFonts w:ascii="Times New Roman" w:hAnsi="Times New Roman" w:cs="Times New Roman" w:eastAsia="Times New Roman"/>
          <w:b w:val="false"/>
          <w:sz w:val="26"/>
        </w:rPr>
        <w:t>Bước 11: Trả hồ sơ cho UBND cấp huyện</w:t>
      </w:r>
    </w:p>
    <w:p>
      <w:pPr>
        <w:spacing w:after="0" w:before="0" w:lineRule="auto" w:line="276"/>
        <w:jc w:val="both"/>
      </w:pPr>
      <w:r>
        <w:rPr>
          <w:rFonts w:ascii="Times New Roman" w:hAnsi="Times New Roman" w:cs="Times New Roman" w:eastAsia="Times New Roman"/>
          <w:b w:val="false"/>
          <w:sz w:val="26"/>
        </w:rPr>
        <w:t>Bước 12: UBND cấp huyện thực hiện chi trả chế độ theo Quyết định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kèm theo danh sách người lao động tạm hoãn thực hiện hợp đồng lao động, nghỉ việc không hưởng lương đảm bảo điều kiện theo quy định tại Quyết định số 15/2020/QĐ-TTg ngày 24/4/2020 của Thủ tướng Chính phủ, có xác nhận của tổ chức công đoàn (nếu có) và cơ quan bảo hiểm xã hội</w:t>
            </w:r>
          </w:p>
        </w:tc>
        <w:tc>
          <w:p/>
          <w:p>
            <w:pPr>
              <w:spacing w:after="0" w:before="0" w:lineRule="auto" w:line="276"/>
              <w:jc w:val="left"/>
            </w:pPr>
            <w:r>
              <w:rPr>
                <w:rFonts w:ascii="Times New Roman" w:hAnsi="Times New Roman" w:cs="Times New Roman" w:eastAsia="Times New Roman"/>
                <w:b w:val="false"/>
                <w:sz w:val="26"/>
              </w:rPr>
              <w:t>BM.VL.01.01.docx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thỏa thuận tạm hoãn thực hiện hợp đồng lao động hoặc nghỉ việc không hưởnglương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tài chính năm 2019, quý I năm 2020 và các giấy tờ chứng minh tài chính khác của doanhnghiệp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 Thương binh và Xã hội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Hà Tĩnh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Đoàn Thanh niên cộng sản Hồ Chí Minh cơ quan BHXH Việt Nam</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UBND tỉnh phê duyệt danh sách và kinh phí hỗ trợ/Văn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thực hiện TTHC:  
Người lao động được hỗ trợ khi có đủ các điều kiện sau:
+ Thời gian tạm hoãn thực hiện hợp đồng lao động, nghỉ việc không hưởng lương trong thời hạn của hợp đồng lao động, từ 01 tháng liên tục trở lên tính từ ngày 01 tháng 4 năm 2020 đến hết ngày 30 tháng 6 năm 2020 và thời điểm bắt đầu tạm hoãn thực hiện hợp đồng lao động, nghỉ việc không hưởng lương từ ngày 01 tháng 4 năm 2020 đến ngày 01 tháng 6 năm2020.
 + Đang tham gia bảo hiểm xã hội bắt buộc tính đến thời điểm ngay trước khi tạm hoãn thực hiện hợp đồng lao động hoặc nghỉ việc không hưởng lương.
+ Làm việc tại các doanh nghiệp không có doanh thu hoặc không còn nguồn tài chính để trả lương (sau khi đã sử dụng các quỹ dự phòng tiền lương, nguồn lợi nhuận sau thuế và các nguồn tài chính hợp pháp khác của doanh nghiệp, số dư đến ngày 31 tháng 3 năm 2020) do ảnh hưởng bởi đại dịch COVID-19.</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2026-05-19T12:36:25Z</dcterms:created>
  <dc:creator>Apache POI</dc:creator>
</cp:coreProperties>
</file>