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trong trường hợp chia, tách, hợp nhất, sáp nhập, chuyển đổi loại hình tổ chức kinh tế đối với dự án đầu tư thuộc thẩm quyền chấp thuận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khoản 2 Điều 51 Nghị định số 31/2021/NĐ-CP cho Ban Quản lý.</w:t>
      </w:r>
    </w:p>
    <w:p>
      <w:pPr>
        <w:spacing w:after="0" w:before="0" w:lineRule="auto" w:line="276"/>
        <w:jc w:val="both"/>
      </w:pPr>
      <w:r>
        <w:rPr>
          <w:rFonts w:ascii="Times New Roman" w:hAnsi="Times New Roman" w:cs="Times New Roman" w:eastAsia="Times New Roman"/>
          <w:b w:val="false"/>
          <w:sz w:val="26"/>
        </w:rPr>
        <w:t>- Bước 2: Ban Quản lý gửi hồ sơ cho cơ quan nhà nước có thẩm quyền theo quy định tại điểm b khoản 4 Điều 33 của Nghị định này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Ban Quản lý quyết định chấp thuận điều chỉnh hoặc lập báo cáo thẩm định các nội dung điều chỉnh dự án đầu tư để trình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quyết định chấp thuận chủ trương điều chỉnh hoặc lập báo cáo thẩm định các nội dung điều chỉnh dự án đầu tư để trình Ủy ban nhân dân cấp tỉnh;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quyết định chấp thuận chủ trương điều chỉnh hoặc lập báo cáo thẩm định các nội dung điều chỉnh dự án đầu tư để trình Ủy ban nhân dân cấp tỉnh;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A.I.11đ Vb de nghi dieu chinh du an dau tu (TH chia, tach..).docx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tổ chức kinh tế sau khi tổ chức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nghị quyết hoặc quyết định của nhà đầu tư là tổ chức kinh tế bị tổ chức lại về việc tổ chức lại, trong đó có nội dung về việc xử lý tài sản, quyền và nghĩa vụ liên quan đến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33 của Luật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chia, tách, sáp nhập dự án đầu tư thuộc thẩm quyền chấp thuận chủ trương đầu tư của Ủy ban nhân dân cấp tỉnh và thuộc một trong các trường hợp quy định tại khoản 3 Điều 41 Luật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trong trường hợp chia, tách, hợp nhất, sáp nhập, chuyển đổi loại hình tổ chức kinh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2026-05-22T08:58:37Z</dcterms:created>
  <dc:creator>Apache POI</dc:creator>
</cp:coreProperties>
</file>