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ngừng hoạt động của dự án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thông báo cho Ban Quản lý</w:t>
      </w:r>
    </w:p>
    <w:p>
      <w:pPr>
        <w:spacing w:after="0" w:before="0" w:lineRule="auto" w:line="276"/>
        <w:jc w:val="both"/>
      </w:pPr>
      <w:r>
        <w:rPr>
          <w:rFonts w:ascii="Times New Roman" w:hAnsi="Times New Roman" w:cs="Times New Roman" w:eastAsia="Times New Roman"/>
          <w:b w:val="false"/>
          <w:sz w:val="26"/>
        </w:rPr>
        <w:t>- Bước 2: Ban Quản lý tiếp nhận và thông báo việc ngừng hoạt động của dự án đầu tư cho các cơ quan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Ban Quản lý tiếp nhận và thông báo việc ngừng hoạt động của dự án đầu tư cho các cơ quan liên quan.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Ban Quản lý tiếp nhận và thông báo việc ngừng hoạt động của dự án đầu tư cho các cơ quan liên quan.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ngừng hoạt động của dự án đầu tư;</w:t>
            </w:r>
          </w:p>
        </w:tc>
        <w:tc>
          <w:p/>
          <w:p>
            <w:pPr>
              <w:spacing w:after="0" w:before="0" w:lineRule="auto" w:line="276"/>
              <w:jc w:val="left"/>
            </w:pPr>
            <w:r>
              <w:rPr>
                <w:rFonts w:ascii="Times New Roman" w:hAnsi="Times New Roman" w:cs="Times New Roman" w:eastAsia="Times New Roman"/>
                <w:b w:val="false"/>
                <w:sz w:val="26"/>
              </w:rPr>
              <w:t>A.I.13 Vb TB cua NDT vv ngung hd du an dau tu (Khoan 1 Đieu 47 Luat Dau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ngừng hoạt động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ngừng hoạt động trong các trường hợp quy định tại các khoản 1 Điều 47 của Luật Đầu tư.
- Tổng thời gian ngừng hoạt động của dự án đầu tư không quá 12 tháng. Trường hợp ngừng hoạt động của dự án đầu tư theo bản án, quyết định của tòa án, phán quyết có hiệu lực của trọng tài hoặc theo quyết định của cơ quan quản lý nhà nước về đầu tư thì thời gian ngừng hoạt động của dự án đầu tư được xác định theo bản án, quyết định của tòa án, phán quyết trọng tài hoặc theo quyết định của cơ quan quản lý nhà nước về đầu tư. Trường hợp các văn bản này không xác định thời gian ngừng hoạt động của dự án đầu tư thì tổng thời gian ngừng không quá thời gian quy định tại khoản 2 Điều 56 Nghị định số 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ngừng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2026-05-22T08:58:04Z</dcterms:created>
  <dc:creator>Apache POI</dc:creator>
</cp:coreProperties>
</file>