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trong trường hợp chia, tách, sáp nhập dự án đầu tư đối với dự án đầu tư thuộc thẩm quyền chấp thuận chủ trương đầu tư của UBND cấp tỉnh hoặc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theo quy định tại điểm a khoản 3 Điều 50 Nghị định số 31/2021/NĐ-CP cho Ban Quản lý.</w:t>
      </w:r>
    </w:p>
    <w:p>
      <w:pPr>
        <w:spacing w:after="0" w:before="0" w:lineRule="auto" w:line="276"/>
        <w:jc w:val="both"/>
      </w:pPr>
      <w:r>
        <w:rPr>
          <w:rFonts w:ascii="Times New Roman" w:hAnsi="Times New Roman" w:cs="Times New Roman" w:eastAsia="Times New Roman"/>
          <w:b w:val="false"/>
          <w:sz w:val="26"/>
        </w:rPr>
        <w:t>- Bước 2: Ban Quản lý gửi hồ sơ cho cơ quan nhà nước có thẩm quyền theo quy định tại điểm b khoản 4 Điều 33 của Nghị định này để lấy ý kiến về những nội dung điều chỉnh dự án đầu tư.</w:t>
      </w:r>
    </w:p>
    <w:p>
      <w:pPr>
        <w:spacing w:after="0" w:before="0" w:lineRule="auto" w:line="276"/>
        <w:jc w:val="both"/>
      </w:pPr>
      <w:r>
        <w:rPr>
          <w:rFonts w:ascii="Times New Roman" w:hAnsi="Times New Roman" w:cs="Times New Roman" w:eastAsia="Times New Roman"/>
          <w:b w:val="false"/>
          <w:sz w:val="26"/>
        </w:rPr>
        <w:t>- Bước 3: Các cơ quan được lấy ý kiến có ý kiến về nội dung điều chỉnh dự án thuộc phạm vi quản lý nhà nước của cơ quan đó.</w:t>
      </w:r>
    </w:p>
    <w:p>
      <w:pPr>
        <w:spacing w:after="0" w:before="0" w:lineRule="auto" w:line="276"/>
        <w:jc w:val="both"/>
      </w:pPr>
      <w:r>
        <w:rPr>
          <w:rFonts w:ascii="Times New Roman" w:hAnsi="Times New Roman" w:cs="Times New Roman" w:eastAsia="Times New Roman"/>
          <w:b w:val="false"/>
          <w:sz w:val="26"/>
        </w:rPr>
        <w:t>- Bước 4: Ban quản lý quyết định chấp thuận điều chỉnh hoặc lập báo cáo thẩm định các nội dung điều chỉnh dự án đầu tư để trình Ủy ban nhân dân cấp tỉnh;</w:t>
      </w:r>
    </w:p>
    <w:p>
      <w:pPr>
        <w:spacing w:after="0" w:before="0" w:lineRule="auto" w:line="276"/>
        <w:jc w:val="both"/>
      </w:pPr>
      <w:r>
        <w:rPr>
          <w:rFonts w:ascii="Times New Roman" w:hAnsi="Times New Roman" w:cs="Times New Roman" w:eastAsia="Times New Roman"/>
          <w:b w:val="false"/>
          <w:sz w:val="26"/>
        </w:rPr>
        <w:t>- Bước 5: Ủy ban nhân dân cấp tỉnh quyết định chấp thuận điều chỉnh chủ trương đầu tư (đối với dự án thuộc thẩm quyền chấp thuận chủ trương đầu tư của UBND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Ban Quản lý gửi hồ sơ cho cơ quan nhà nước có thẩm quyền theo quy định tại điểm b khoản 4 Điều 33 của Nghị định này để lấy ý kiến về những nội dung điều chỉnh dự án đầu tư. + Trong thời hạn 15 ngày kể từ ngày nhận được hồ sơ hợp lệ, các cơ quan được lấy ý kiến có ý kiến về nội dung điều chỉnh dự án thuộc phạm vi quản lý nhà nước của cơ quan đó;  + Trong thời hạn 25 ngày kể từ ngày nhận được hồ sơ hợp lệ, Ban Quản lý quyết định chấp thuận điều chỉnh hoặc lập báo cáo thẩm định các nội dung điều chỉnh dự án đầu tư để trình Ủy ban nhân dân cấp tỉnh; + Trong thời hạn 07 ngày làm việc kể từ ngày nhận được hồ sơ và báo cáo thẩm định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Ban Quản lý gửi hồ sơ cho cơ quan nhà nước có thẩm quyền theo quy định tại điểm b khoản 4 Điều 33 của Nghị định này để lấy ý kiến về những nội dung điều chỉnh dự án đầu tư. + Trong thời hạn 15 ngày kể từ ngày nhận được hồ sơ hợp lệ, các cơ quan được lấy ý kiến có ý kiến về nội dung điều chỉnh dự án thuộc phạm vi quản lý nhà nước của cơ quan đó;  + Trong thời hạn 25 ngày kể từ ngày nhận được hồ sơ hợp lệ, Ban Quản lý quyết định chấp thuận điều chỉnh hoặc lập báo cáo thẩm định các nội dung điều chỉnh dự án đầu tư để trình Ủy ban nhân dân cấp tỉnh; + Trong thời hạn 07 ngày làm việc kể từ ngày nhận được hồ sơ và báo cáo thẩm định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Mẫu A.I.11.d.docx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chia, tách, sáp nhập dự án đầu tư;</w:t>
            </w:r>
          </w:p>
        </w:tc>
        <w:tc>
          <w:p/>
          <w:p>
            <w:pPr>
              <w:spacing w:after="0" w:before="0" w:lineRule="auto" w:line="276"/>
              <w:jc w:val="left"/>
            </w:pPr>
            <w:r>
              <w:rPr>
                <w:rFonts w:ascii="Times New Roman" w:hAnsi="Times New Roman" w:cs="Times New Roman" w:eastAsia="Times New Roman"/>
                <w:b w:val="false"/>
                <w:sz w:val="26"/>
              </w:rPr>
              <w:t>Mẫu 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chia, tách, sáp nhập dự án đầu tư hoặc tài liệu khác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hoặc Quyết định chấp thuận chủ trương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33 của Luật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chia, tách, sáp nhập dự án đầu tư thuộc thẩm quyền chấp thuận chủ trương đầu tư của Ủy ban nhân dân tỉnh và thuộc một trong các trường hợp quy định tại khoản 3 Điều 41 Luật Đầu tư.
- Việc chia, tách, sáp nhập dự án đầu tư phải đáp ứng các điều kiện sau:
+ Các điều kiện sử dụng đất theo quy định của pháp luật đất đai, điều kiện đầu tư kinh doanh (nếu có) và điều kiện khác theo quy định của pháp luật; 
+ Không được thay đổi điều kiện của nhà đầu tư (nếu có) tại Quyết định chấp thuận chủ trương đầu tư hoặc Giấy chứng nhận đăng ký đầu tư trước khi thực hiện việc chia, tách, sáp nhập dự án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trong trường hợp chia, tách, sáp nhập dự án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2026-05-22T08:57:57Z</dcterms:created>
  <dc:creator>Apache POI</dc:creator>
</cp:coreProperties>
</file>