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thành lập và hoạt động của công ty chứng khoán, công ty quản lý quỹ đầu tư chứng khoán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ty chứng khoán, công ty quản lý quỹ đầu tư chứng khoán gửi hồ sơ đề nghị điều chỉnh Giấy phép thành lập và hoạt động kinh doanh chứng khoán (bổ sung nghiệp vụ kinh doanh chứng khoán của công ty chứng khoán; thay đổi tên, địa chỉ trụ sở chính, vốn điều lệ, người đại diện theo pháp luật của công ty chứng khoán, công ty quản lý quỹ đầu tư chứng khoán) đến Ủy ban Chứng khoán Nhà nước.
Bước 2: Ủy ban Chứng khoán Nhà nước (Bộ phận một cửa) tiếp nhận và kiểm tra danh mục hồ sơ. Trường hợp danh mục chưa đầy đủ, Ủy ban Chứng khoán Nhà nước hướng dẫn bổ sung hồ sơ theo quy định.
Bước 3: Trong thời hạn 07 ngày làm việc kể từ ngày nhận được hồ sơ, Ủy ban Chứng khoán Nhà nước xem xét tính đầy đủ, hợp lệ của hồ sơ. Trường hợp hồ sơ cần sửa đổi, bổ sung, Ủy ban Chứng khoán Nhà nước có văn bản gửi công ty chứng khoán, công ty quản lý quỹ đầu tư chứng khoán nêu rõ nội dung yêu cầu sửa đổi, bổ sung.
Bước 4: Trong thời hạn 60 ngày kể từ ngày Ủy ban Chứng khoán Nhà nước có văn bản yêu cầu sửa đổi, bổ sung hồ sơ, công ty chứng khoán, công ty quản lý quỹ đầu tư chứng khoán hoàn thiện hồ sơ và gửi đến Ủy ban Chứng khoán Nhà nước.</w:t>
      </w:r>
    </w:p>
    <w:p>
      <w:pPr>
        <w:shd w:val="clear" w:color="auto" w:fill="F2F6F9"/>
        <w:spacing w:after="0" w:before="120" w:lineRule="auto" w:line="276"/>
        <w:jc w:val="both"/>
      </w:pPr>
      <w:r>
        <w:rPr>
          <w:rFonts w:ascii="Times New Roman" w:hAnsi="Times New Roman" w:cs="Times New Roman" w:eastAsia="Times New Roman"/>
          <w:b w:val="true"/>
          <w:sz w:val="26"/>
        </w:rPr>
        <w:t>* Trường hợp bổ sung nghiệp vụ tự doanh chứng khoán, môi giới chứng khoán (đối với công ty chứng khoán); thay đổi địa chỉ trụ sở chính:</w:t>
      </w:r>
    </w:p>
    <w:p>
      <w:pPr>
        <w:spacing w:after="0" w:before="0" w:lineRule="auto" w:line="276"/>
        <w:jc w:val="both"/>
      </w:pPr>
      <w:r>
        <w:rPr>
          <w:rFonts w:ascii="Times New Roman" w:hAnsi="Times New Roman" w:cs="Times New Roman" w:eastAsia="Times New Roman"/>
          <w:b w:val="false"/>
          <w:sz w:val="26"/>
        </w:rPr>
        <w:t>Bước 5: Ủy ban Chứng khoán Nhà nước kiểm tra cơ sở vật chất tại trụ sở dự kiến của công ty chứng khoán, công ty quản lý quỹ đầu tư chứng khoán. 
Bước 6: Trong thời hạn 07 ngày làm việc kể từ ngày nhận được hồ sơ đầy đủ và hợp lệ và kết quả kiểm tra cơ sở vật chất, Ủy ban Chứng khoán Nhà nước điều chỉnh Giấy phép thành lập và hoạt động kinh doanh chứng khoán; trường hợp từ chối, phải trả lời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bổ sung nghiệp vụ kinh doanh chứng khoán (trừ nghiệp vụ tự doanh chứng khoán, môi giới chứng khoán) (đối với công ty chứng khoán); thay đổi tên, vốn điều lệ, người đại diện theo pháp luật:</w:t>
      </w:r>
    </w:p>
    <w:p>
      <w:pPr>
        <w:spacing w:after="0" w:before="0" w:lineRule="auto" w:line="276"/>
        <w:jc w:val="both"/>
      </w:pPr>
      <w:r>
        <w:rPr>
          <w:rFonts w:ascii="Times New Roman" w:hAnsi="Times New Roman" w:cs="Times New Roman" w:eastAsia="Times New Roman"/>
          <w:b w:val="false"/>
          <w:sz w:val="26"/>
        </w:rPr>
        <w:t>Bước 5: Trong thời hạn 07 ngày làm việc kể từ ngày nhận được hồ sơ đầy đủ và hợp lệ, Ủy ban Chứng khoán Nhà nước điều chỉnh Giấy phép thành lập và hoạt động kinh doanh chứng khoán;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tại Thông tư 25/2022/TT-BTC ngày 28/4/2022: 02 triệu đồng/lần cấp. * Theo quy định tại Thông tư 64/2025/TT-BTC ngày 30/6/2025  (kể từ ngày 01/7/2025 đến hết ngày 31/12/2026: 01 triệu đồng/lần cấp.)</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 và kết quả kiểm tra cơ sở vật chất (đối với trường hợp bổ sung nghiệp vụ tự doanh chứng khoán, môi giới chứng khoán của công ty chứng khoán; thay đổi địa chỉ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tại Thông tư 25/2022/TT-BTC ngày 28/4/2022: 02 triệu đồng/lần cấp. * Theo quy định tại Thông tư 64/2025/TT-BTC ngày 30/6/2025  (kể từ ngày 01/7/2025 đến hết ngày 31/12/2026: 01 triệu đồng/lần cấp.)</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 và kết quả kiểm tra cơ sở vật chất (đối với trường hợp bổ sung nghiệp vụ tự doanh chứng khoán, môi giới chứng khoán của công ty chứng khoán; thay đổi địa chỉ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tại Thông tư 25/2022/TT-BTC ngày 28/4/2022: 02 triệu đồng/lần cấp. * Theo quy định tại Thông tư 64/2025/TT-BTC ngày 30/6/2025  (kể từ ngày 01/7/2025 đến hết ngày 31/12/2026: 01 triệu đồng/lần cấp.)</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 và kết quả kiểm tra cơ sở vật chất (đối với trường hợp bổ sung nghiệp vụ tự doanh chứng khoán, môi giới chứng khoán của công ty chứng khoán; thay đổi địa chỉ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bổ sung nghiệp vụ kinh doanh chứng khoán (đối với công ty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Mus69.docx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Đại hội đồng cổ đông, Hội đồng thành viên hoặc chủ sở hữu công ty về việc bổ sung nghiệp vụ kinh doanh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nhân sự thực hiện nghiệp vụ đề nghị bổ sung;</w:t>
            </w:r>
          </w:p>
        </w:tc>
        <w:tc>
          <w:p/>
          <w:p>
            <w:pPr>
              <w:spacing w:after="0" w:before="0" w:lineRule="auto" w:line="276"/>
              <w:jc w:val="left"/>
            </w:pPr>
            <w:r>
              <w:rPr>
                <w:rFonts w:ascii="Times New Roman" w:hAnsi="Times New Roman" w:cs="Times New Roman" w:eastAsia="Times New Roman"/>
                <w:b w:val="false"/>
                <w:sz w:val="26"/>
              </w:rPr>
              <w:t>Mus66.docx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cơ sở vật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cấp có thẩm quyền ban hành quy trình nghiệp vụ, quy trình kiểm soát nội bộ, quy trình quản lý rủi ro;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chức danh của người đại diện theo pháp luật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w:t>
            </w:r>
          </w:p>
        </w:tc>
        <w:tc>
          <w:p/>
          <w:p>
            <w:pPr>
              <w:spacing w:after="0" w:before="0" w:lineRule="auto" w:line="276"/>
              <w:jc w:val="left"/>
            </w:pPr>
            <w:r>
              <w:rPr>
                <w:rFonts w:ascii="Times New Roman" w:hAnsi="Times New Roman" w:cs="Times New Roman" w:eastAsia="Times New Roman"/>
                <w:b w:val="false"/>
                <w:sz w:val="26"/>
              </w:rPr>
              <w:t>Mus69.docx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của Đại hội đồng cổ đông, Hội đồng thành viên hoặc chủ sở hữu công ty thông qua thay đổi chức danh của người đại diện theo pháp luật, sửa đổi Điều lệ công ty và các tài liệu quy định tại điểm b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của Hội đồng quản trị, Hội đồng thành viên, chủ sở hữu công ty thông qua việc bổ nhiệm, miễn nhiệm Chủ tịch Hội đồng quản trị, Chủ tịch Hội đồng thành viên, Chủ tịch công ty hoặc Tổng giám đốc (Giám đốc); bản thông tin cá nhân; phiếu lý lịch tư pháp được cấp không quá 06 tháng tính đến ngày nộp hồ sơ của người được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người đại diện theo pháp luật mà không thay đổi chức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Mus82.CaplaiGiayphepthanhlap.docx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Hội đồng quản trị, Hội đồng thành viên, chủ sở hữu công ty thông qua việc bổ nhiệm, miễn nhiệm Chủ tịch Hội đồng quản trị, Chủ tịch Hội đồng thành viên, Chủ tịch công ty hoặc Tổng giám đốc (Giám đốc); bản thông tin cá nhân; phiếu lý lịch tư pháp được cấp không quá 06 tháng tính đến ngày nộp hồ sơ của người được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tin cá nhân của người đại diện theo pháp luật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w:t>
            </w:r>
          </w:p>
        </w:tc>
        <w:tc>
          <w:p/>
          <w:p>
            <w:pPr>
              <w:spacing w:after="0" w:before="0" w:lineRule="auto" w:line="276"/>
              <w:jc w:val="left"/>
            </w:pPr>
            <w:r>
              <w:rPr>
                <w:rFonts w:ascii="Times New Roman" w:hAnsi="Times New Roman" w:cs="Times New Roman" w:eastAsia="Times New Roman"/>
                <w:b w:val="false"/>
                <w:sz w:val="26"/>
              </w:rPr>
              <w:t>Mus69.docx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thông tin cá nhân của người được bổ nhiệm.</w:t>
            </w:r>
          </w:p>
        </w:tc>
        <w:tc>
          <w:p/>
          <w:p>
            <w:pPr>
              <w:spacing w:after="0" w:before="0" w:lineRule="auto" w:line="276"/>
              <w:jc w:val="left"/>
            </w:pPr>
            <w:r>
              <w:rPr>
                <w:rFonts w:ascii="Times New Roman" w:hAnsi="Times New Roman" w:cs="Times New Roman" w:eastAsia="Times New Roman"/>
                <w:b w:val="false"/>
                <w:sz w:val="26"/>
              </w:rPr>
              <w:t>Mus67.docx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Khi sử dụng tài khoản định danh điện tử để giải quyết thủ tục hành chính thì thông tin về danh tính điện tử, thông tin tích hợp trên căn cước điện tử, tài khoản định danh điện tử có giá trị chứng minh, tương đương với việc cung cấp thông tin hoặc sử dụng, xuất trình giấy tờ, tài liệu có chứa thông tin đó trong thực hiện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của công ty chứng khoán, công ty quản lý quỹ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w:t>
            </w:r>
          </w:p>
        </w:tc>
        <w:tc>
          <w:p/>
          <w:p>
            <w:pPr>
              <w:spacing w:after="0" w:before="0" w:lineRule="auto" w:line="276"/>
              <w:jc w:val="left"/>
            </w:pPr>
            <w:r>
              <w:rPr>
                <w:rFonts w:ascii="Times New Roman" w:hAnsi="Times New Roman" w:cs="Times New Roman" w:eastAsia="Times New Roman"/>
                <w:b w:val="false"/>
                <w:sz w:val="26"/>
              </w:rPr>
              <w:t>Mus69.docx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Đại hội đồng cổ đông, Hội đồng thành viên hoặc Chủ sở hữu công ty về việc thay đổi tên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vốn điều lệ của công ty chứng khoán, công ty quản lý quỹ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Mus82.CaplaiGiayphepthanhlap.docx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của Đại hội đồng cổ đông, Hội đồng thành viên hoặc Chủ sở hữu về việc thay đổi tên công ty, địa chỉ trụ sở chính,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việc tăng vốn điều lệ, hồ sơ kèm theo xác nhận về khoản vốn tăng thêm của ngân hàng nơi mở tài khoản phong tỏa hoặc xác nhận của tổ chức kiểm toán được chấp thuận về khoản vốn tăng thêm hoặc báo cáo tài chính tại thời điểm sau khi công ty chứng khoán, công ty quản lý quỹ đầu tư chứng khoán hoàn thành việc tăng vốn điều lệ đã được kiểm toán bởi tổ chức kiểm toán được chấp thuận. Quy định này không áp dụng đối với trường hợp công ty chứng khoán, công ty quản lý quỹ đầu tư chứng khoán tăng vốn điều lệ từ các nguồn vốn thuộc vốn chủ sở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việc giảm vốn điều lệ, hồ sơ kèm theo báo cáo vốn chủ sở hữu sau khi giảm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địa chỉ trụ sở chính của công ty chứng khoán, công ty quản lý quỹ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Mus82.CaplaiGiayphepthanhlap.docx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Đại hội đồng cổ đông, Hội đồng thành viên hoặc Chủ sở hữu về việc rút nghiệp vụ kinh doanh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trụ sở, giấy tờ chứng minh quyền sở hữu trụ sở, quyền sử dụng trụ sở; thuyết minh cơ sở vật chất.</w:t>
            </w:r>
          </w:p>
        </w:tc>
        <w:tc>
          <w:p/>
          <w:p>
            <w:pPr>
              <w:spacing w:after="0" w:before="0" w:lineRule="auto" w:line="276"/>
              <w:jc w:val="left"/>
            </w:pPr>
            <w:r>
              <w:rPr>
                <w:rFonts w:ascii="Times New Roman" w:hAnsi="Times New Roman" w:cs="Times New Roman" w:eastAsia="Times New Roman"/>
                <w:b w:val="false"/>
                <w:sz w:val="26"/>
              </w:rPr>
              <w:t>Mus65.docx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---Trong trường hợp khai thác được Giấy tờ chứng minh quyền sở hữu trụ sở là Giấy chứng nhận quyền sử dụng đất, quyền sở hữu tài sản gắn liền với đất  trên Cơ sở dữ liệu quốc gia về đất đai thì không yêu cầu tổ chức, cá nhân, doanh nghiệp nộp thành phần hồ sơ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quyền sở hữu trụ sở là Giấy chứng nhận quyền sử dụng đất, quyền sở hữu tài sản gắn liền với đất  trên Cơ sở dữ liệu quốc gia về đất đai thì không yêu cầu tổ chức, cá nhân, doanh nghiệp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Tên mẫu đơn, mẫu tờ khai: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phép thành lập và hoạt động kinh doanh chứng khoán/Giấy chứng nhận đăng ký hoạt động văn phòng đại diện - Mẫu số 69 Phụ lục ban hành kèm theo Nghị định số 245/2025/NĐ-CP sửa đổi, bổ sung một số điều của Nghị định số 155/2020/NĐ-CP.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thông tin cá nhân - Mẫu số 67 ban hành kèm theo Nghị định số 245/2025/NĐ-CP sửa đổi, bổ sung một số điều của Nghị định số 155/2020/NĐ-CP. + Thuyết minh cơ sở vật chất - Mẫu số 65 Phụ lục ban hành kèm theo Nghị định số 155/2020/NĐ-CP.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nhân sự - Mẫu số 66 Phụ lục ban hành kèm theo Nghị định số 155/2020/NĐ-CP (được sửa đổi tại Nghị định số 245/2025/NĐ-CP sửa đổi, bổ sung một số điều của Nghị định số 155/2020/NĐ-CP).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Số lượng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bộ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điều chỉnh Giấy phép thành lập và hoạt động kinh doanh chứng khoán, Công văn từ chối của Uỷ ban Chứng khoán Nhà nước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lệ phí trong lĩnh vực chứng khoán</w:t>
            </w:r>
          </w:p>
        </w:tc>
        <w:tc>
          <w:p/>
          <w:p>
            <w:pPr>
              <w:spacing w:after="0" w:before="0" w:lineRule="auto" w:line="276"/>
              <w:jc w:val="left"/>
            </w:pPr>
            <w:r>
              <w:rPr>
                <w:rFonts w:ascii="Times New Roman" w:hAnsi="Times New Roman" w:cs="Times New Roman" w:eastAsia="Times New Roman"/>
                <w:b w:val="false"/>
                <w:sz w:val="26"/>
              </w:rPr>
              <w:t>28-04-2022</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24</w:t>
            </w:r>
          </w:p>
        </w:tc>
        <w:tc>
          <w:p/>
          <w:p>
            <w:pPr>
              <w:spacing w:after="0" w:before="0" w:lineRule="auto" w:line="276"/>
              <w:jc w:val="left"/>
            </w:pPr>
            <w:r>
              <w:rPr>
                <w:rFonts w:ascii="Times New Roman" w:hAnsi="Times New Roman" w:cs="Times New Roman" w:eastAsia="Times New Roman"/>
                <w:b w:val="false"/>
                <w:sz w:val="26"/>
              </w:rPr>
              <w:t>24/2026/NQ-CP</w:t>
            </w:r>
          </w:p>
        </w:tc>
        <w:tc>
          <w:p/>
          <w:p>
            <w:pPr>
              <w:spacing w:after="0" w:before="0" w:lineRule="auto" w:line="276"/>
              <w:jc w:val="left"/>
            </w:pPr>
            <w:r>
              <w:rPr>
                <w:rFonts w:ascii="Times New Roman" w:hAnsi="Times New Roman" w:cs="Times New Roman" w:eastAsia="Times New Roman"/>
                <w:b w:val="false"/>
                <w:sz w:val="26"/>
              </w:rPr>
              <w:t>29-04-2026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thay đổi người đại diện theo pháp luật:
Điều kiện tương ứng với chức danh của người đại diện theo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2026-05-27T18:45:53Z</dcterms:created>
  <dc:creator>Apache POI</dc:creator>
</cp:coreProperties>
</file>