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1.009839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 Đóng gói, vận chuyển nguồn phóng xạ, chất thải phóng xạ, vật liệu hạt nhân nguồn, vật liệu hạt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nộp hồ sơ đề nghị cấp Giấy phép tiến hành công việc bức xạ - Đóng gói, vận chuyển nguồn phóng xạ, chất thải phóng xạ, vật liệu hạt nhân nguồn, vật liệu hạt nhân đến Bộ KH&amp;CN.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Bộ KH&amp;CN kiểm tra tính đầy đủ, hợp lệ của hồ sơ và thông báo bằng văn bản mức phí đối với hồ sơ hợp lệ và phí, lệ phí (nếu có) hoặc thông báo bằng văn bản yêu cầu sửa đổi, bổ sung hồ sơ nểu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được hồ sơ hợp lệ và phí, lệ phí (nếu có), Bộ KH&amp;CN tổ chức thẩm định và cấp giấy phép tiến hành công việc bức xạ (đóng gói, vận chuyển nguồn phóng xạ, chất thải phóng xạ, vật liệu hạt nhân nguồn, vật liệu hạt nhân).
Trường hợp không cấp giấy phép, Bộ KH&amp;CN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(Đóng gói, vận chuyển nguồn phóng xạ có mức độ nguy hiểm phóng xạ dưới trung bình: 1.000.000 đồng/1 kiện hàng.)</w:t>
            </w:r>
          </w:p>
          <w:p>
            <w:pPr>
              <w:spacing w:after="0" w:before="0" w:lineRule="auto" w:line="276"/>
              <w:jc w:val="left"/>
            </w:pPr>
            <w:r>
              <w:rPr>
                <w:rFonts w:ascii="Times New Roman" w:hAnsi="Times New Roman" w:cs="Times New Roman" w:eastAsia="Times New Roman"/>
                <w:b w:val="false"/>
                <w:sz w:val="26"/>
              </w:rPr>
              <w:t>Phí : 2.000.000 Đồng</w:t>
              <w:t xml:space="preserve"> (Đóng gói, vận chuyển nguồn phóng xạ có mức độ nguy hiểm phóng xạ trung bình: 2.000.000 đồng/1 kiện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chất thải phóng xạ: 4.000.000 đồng/1 chuyến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vật liệu hạt nhân nguồn: 4.000.000 đồng/1 chuyến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nguồn phóng xạ có mức độ nguy hiểm phóng xạ trên trung bình: 7.000.000 đồng/1 kiện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vật liệu hạt nhân: 7.000.000 đồng/1 chuyến hàng)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(Đóng gói, vận chuyển nguồn phóng xạ có mức độ nguy hiểm phóng xạ dưới trung bình: 1.000.000 đồng/1 kiện hàng.)</w:t>
            </w:r>
          </w:p>
          <w:p>
            <w:pPr>
              <w:spacing w:after="0" w:before="0" w:lineRule="auto" w:line="276"/>
              <w:jc w:val="left"/>
            </w:pPr>
            <w:r>
              <w:rPr>
                <w:rFonts w:ascii="Times New Roman" w:hAnsi="Times New Roman" w:cs="Times New Roman" w:eastAsia="Times New Roman"/>
                <w:b w:val="false"/>
                <w:sz w:val="26"/>
              </w:rPr>
              <w:t>Phí : 2.000.000 Đồng</w:t>
              <w:t xml:space="preserve"> (Đóng gói, vận chuyển nguồn phóng xạ có mức độ nguy hiểm phóng xạ trung bình: 2.000.000 đồng/1 kiện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chất thải phóng xạ: 4.000.000 đồng/1 chuyến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vật liệu hạt nhân nguồn: 4.000.000 đồng/1 chuyến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nguồn phóng xạ có mức độ nguy hiểm phóng xạ trên trung bình: 7.000.000 đồng/1 kiện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vật liệu hạt nhân: 7.000.000 đồng/1 chuyến hàng)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(Đóng gói, vận chuyển nguồn phóng xạ có mức độ nguy hiểm phóng xạ dưới trung bình: 1.000.000 đồng/1 kiện hàng.)</w:t>
            </w:r>
          </w:p>
          <w:p>
            <w:pPr>
              <w:spacing w:after="0" w:before="0" w:lineRule="auto" w:line="276"/>
              <w:jc w:val="left"/>
            </w:pPr>
            <w:r>
              <w:rPr>
                <w:rFonts w:ascii="Times New Roman" w:hAnsi="Times New Roman" w:cs="Times New Roman" w:eastAsia="Times New Roman"/>
                <w:b w:val="false"/>
                <w:sz w:val="26"/>
              </w:rPr>
              <w:t>Phí : 2.000.000 Đồng</w:t>
              <w:t xml:space="preserve"> (Đóng gói, vận chuyển nguồn phóng xạ có mức độ nguy hiểm phóng xạ trung bình: 2.000.000 đồng/1 kiện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chất thải phóng xạ: 4.000.000 đồng/1 chuyến hàng)</w:t>
            </w:r>
          </w:p>
          <w:p>
            <w:pPr>
              <w:spacing w:after="0" w:before="0" w:lineRule="auto" w:line="276"/>
              <w:jc w:val="left"/>
            </w:pPr>
            <w:r>
              <w:rPr>
                <w:rFonts w:ascii="Times New Roman" w:hAnsi="Times New Roman" w:cs="Times New Roman" w:eastAsia="Times New Roman"/>
                <w:b w:val="false"/>
                <w:sz w:val="26"/>
              </w:rPr>
              <w:t>Phí : 4.000.000 Đồng</w:t>
              <w:t xml:space="preserve"> (Đóng gói, vận chuyển vật liệu hạt nhân nguồn: 4.000.000 đồng/1 chuyến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nguồn phóng xạ có mức độ nguy hiểm phóng xạ trên trung bình: 7.000.000 đồng/1 kiện hàng.)</w:t>
            </w:r>
          </w:p>
          <w:p>
            <w:pPr>
              <w:spacing w:after="0" w:before="0" w:lineRule="auto" w:line="276"/>
              <w:jc w:val="left"/>
            </w:pPr>
            <w:r>
              <w:rPr>
                <w:rFonts w:ascii="Times New Roman" w:hAnsi="Times New Roman" w:cs="Times New Roman" w:eastAsia="Times New Roman"/>
                <w:b w:val="false"/>
                <w:sz w:val="26"/>
              </w:rPr>
              <w:t>Phí : 7.000.000 Đồng</w:t>
              <w:t xml:space="preserve"> (Đóng gói, vận chuyển vật liệu hạt nhân: 7.000.000 đồng/1 chuyến hàng)</w:t>
            </w:r>
          </w:p>
        </w:tc>
        <w:tc>
          <w:p/>
          <w:p>
            <w:pPr>
              <w:spacing w:after="0" w:before="0" w:lineRule="auto" w:line="276"/>
              <w:jc w:val="left"/>
            </w:pPr>
            <w:r>
              <w:rPr>
                <w:rFonts w:ascii="Times New Roman" w:hAnsi="Times New Roman" w:cs="Times New Roman" w:eastAsia="Times New Roman"/>
                <w:b w:val="false"/>
                <w:sz w:val="26"/>
              </w:rPr>
              <w:t>30 ngày kể từ ngày nhận đủ hồ sơ hợp lệ và phí, lệ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Mau 3_Don van chuyen.doc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áp tải hàng</w:t>
            </w:r>
          </w:p>
        </w:tc>
        <w:tc>
          <w:p/>
          <w:p>
            <w:pPr>
              <w:spacing w:after="0" w:before="0" w:lineRule="auto" w:line="276"/>
              <w:jc w:val="left"/>
            </w:pPr>
            <w:r>
              <w:rPr>
                <w:rFonts w:ascii="Times New Roman" w:hAnsi="Times New Roman" w:cs="Times New Roman" w:eastAsia="Times New Roman"/>
                <w:b w:val="false"/>
                <w:sz w:val="26"/>
              </w:rPr>
              <w:t>Mau 02_KB nhan vien ap tai hang.doc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nguồn phóng xạ kín, nguồn phóng xạ hở, chất thải phóng xạ, vật liệu hạt nhân nguồn, vật liệu hạt nhân</w:t>
            </w:r>
          </w:p>
        </w:tc>
        <w:tc>
          <w:p/>
          <w:p>
            <w:pPr>
              <w:spacing w:after="0" w:before="0" w:lineRule="auto" w:line="276"/>
              <w:jc w:val="left"/>
            </w:pPr>
            <w:r>
              <w:rPr>
                <w:rFonts w:ascii="Times New Roman" w:hAnsi="Times New Roman" w:cs="Times New Roman" w:eastAsia="Times New Roman"/>
                <w:b w:val="false"/>
                <w:sz w:val="26"/>
              </w:rPr>
              <w:t>Mau 03_KB nguon PX.doc</w:t>
            </w:r>
          </w:p>
          <w:p>
            <w:pPr>
              <w:spacing w:after="0" w:before="0" w:lineRule="auto" w:line="276"/>
              <w:jc w:val="left"/>
            </w:pPr>
            <w:r>
              <w:rPr>
                <w:rFonts w:ascii="Times New Roman" w:hAnsi="Times New Roman" w:cs="Times New Roman" w:eastAsia="Times New Roman"/>
                <w:b w:val="false"/>
                <w:sz w:val="26"/>
              </w:rPr>
              <w:t>Mau 06_KB nguon PX ho.doc</w:t>
            </w:r>
          </w:p>
          <w:p>
            <w:pPr>
              <w:spacing w:after="0" w:before="0" w:lineRule="auto" w:line="276"/>
              <w:jc w:val="left"/>
            </w:pPr>
            <w:r>
              <w:rPr>
                <w:rFonts w:ascii="Times New Roman" w:hAnsi="Times New Roman" w:cs="Times New Roman" w:eastAsia="Times New Roman"/>
                <w:b w:val="false"/>
                <w:sz w:val="26"/>
              </w:rPr>
              <w:t>Mau 11_KB vat lieu hat nhan nguon.doc</w:t>
            </w:r>
          </w:p>
          <w:p>
            <w:pPr>
              <w:spacing w:after="0" w:before="0" w:lineRule="auto" w:line="276"/>
              <w:jc w:val="left"/>
            </w:pPr>
            <w:r>
              <w:rPr>
                <w:rFonts w:ascii="Times New Roman" w:hAnsi="Times New Roman" w:cs="Times New Roman" w:eastAsia="Times New Roman"/>
                <w:b w:val="false"/>
                <w:sz w:val="26"/>
              </w:rPr>
              <w:t>Mau 12_KB vat lieu hat nhan.doc</w:t>
            </w:r>
          </w:p>
          <w:p>
            <w:pPr>
              <w:spacing w:after="0" w:before="0" w:lineRule="auto" w:line="276"/>
              <w:jc w:val="left"/>
            </w:pPr>
            <w:r>
              <w:rPr>
                <w:rFonts w:ascii="Times New Roman" w:hAnsi="Times New Roman" w:cs="Times New Roman" w:eastAsia="Times New Roman"/>
                <w:b w:val="false"/>
                <w:sz w:val="26"/>
              </w:rPr>
              <w:t>Mau 14_KB chat thai PX.doc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p>
            <w:pPr>
              <w:spacing w:after="0" w:before="0" w:lineRule="auto" w:line="276"/>
              <w:jc w:val="left"/>
            </w:pPr>
            <w:r>
              <w:rPr>
                <w:rFonts w:ascii="Times New Roman" w:hAnsi="Times New Roman" w:cs="Times New Roman" w:eastAsia="Times New Roman"/>
                <w:b w:val="false"/>
                <w:sz w:val="26"/>
              </w:rPr>
              <w:t>Mau 11_PL5_ BC dong goi, van chuyen.doc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ứng phó sự cố</w:t>
            </w:r>
          </w:p>
        </w:tc>
        <w:tc>
          <w:p/>
          <w:p>
            <w:pPr>
              <w:spacing w:after="0" w:before="0" w:lineRule="auto" w:line="276"/>
              <w:jc w:val="left"/>
            </w:pPr>
            <w:r>
              <w:rPr>
                <w:rFonts w:ascii="Times New Roman" w:hAnsi="Times New Roman" w:cs="Times New Roman" w:eastAsia="Times New Roman"/>
                <w:b w:val="false"/>
                <w:sz w:val="26"/>
              </w:rPr>
              <w:t>PL02_NoidungKHUPSC.doc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của một trong các loại giấy tờ sau: Quyết định thành lập tổ chức, Giấy chứng nhận đăng ký doanh nghiệp, Giấy chứng nhận đăng ký đầu tư, Giấy chứng nhận đăng ký hoạt động khoa học và công nghệ, các loại giấy tờ khác có giá trị tương đương. Trường hợp giấy tờ bị thất lạc phải có xác nhận của cơ quan ban hành hoặc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Chứng chỉ nhân viên bức xạ của nhân viên: người điều khiển phương tiện vận chuyển hoặc người áp tải trong trường hợp vận chuyển bằng đường bộ, đường sắt (trừ trường hợp vận chuyển kiện miễn trừ) và người phụ trách ứng phó sự cố trong trường hợp vận chuyển nguồn phóng xạ Nhóm 1, Nhóm 2 và Nhóm 3 theo QCVN 06:2010/BKHCN. Trường hợp nhân viên này chưa có chứng chỉ, phải nộp hồ sơ đề nghị cấp Chứng chỉ nhân viên bức xạ theo quy định tại Điều 35 của Nghị định 142/2020/NĐ-CP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đào tạo an toàn bức xạ của nhân viên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vận chuyển nếu tổ chức, cá nhân gửi hàng không phải là tổ chức, cá nhân vận chuyển.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113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Đóng gói, vận chuyển nguồn phóng xạ, chất thải phóng xạ, vật liệu hạt nhân nguồn, vật liệu hạt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Thông tư 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quy định về việc tiến hành công việc bức xạ và hoạt động dịch vụ hỗ trợ ứng dụng năng lượng nguyên tử.</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về nhân lực:
- Trường hợp vận chuyển bằng đường bộ, đường sắt (trừ trường hợp vận chuyển kiện miễn trừ): Người điều khiển phương tiện vận chuyển có Giấy chứng nhận đào tạo an toàn bức xạ hoặc có người áp tải có Giấy chứng nhận này;
- Trường hợp vận chuyển nguồn phóng xạ Nhóm 1, Nhóm 2 và Nhóm 3 theo QCVN 06:2010/BKHCN: Phải có người phụ trách ứng phó sự cố được cấp Chứng chỉ nhân viên bức xạ.
	Điều kiện bảo đảm an toàn, an ninh:
- Kiện hàng phải được đóng gói, dán nhãn theo quy định về vận chuyển an toàn nguồn phóng xạ, chất thải phóng xạ, vật liệu hạt nhân nguồn, vật liệu hạt nhân;
- Có thiết bị đo suất liều chiếu xạ để giám sát an toàn trong quá trình vận chuyển;
- Đáp ứng đầy đủ các yêu cầu về bảo đảm an ninh theo quy định tại Phụ lục I của Nghị định 142/2020/NĐ-CP;
- Có kế hoạch ứng phó sự cố bức xạ cấp cơ sở theo quy định tại Phụ lục II của Nghị định 142/2020/NĐ-CP.
Trường hợp vận chuyển nguồn phóng xạ Nhóm 1, Nhóm 2 theo QCVN 6:2010/BKHCN, chất thải phóng xạ mức cao theo Tiêu chuẩn quốc gia về An toàn bức xạ - Quản lý chất thải phóng xạ - Phân loại chất thải phóng xạ (TCVN 6868:2001): Kế hoạch ứng phó sự cố phải được phê duyệt theo quy định tại Điều 36 của Nghị định này;
- Phương tiện vận chuyển đường bộ, khoang hàng vận chuyển bằng đường sắt phải gắn nhãn cảnh báo hàng nguy hiểm phóng xạ theo quy định khi vận chuyển nguồn phóng xạ, chất thải phóng xạ, vật liệu hạt nhân nguồn, vật liệu hạt nhân;
- Trường hợp vận chuyển bằng đường bộ: Chỉ được sử dụng ôtô và không được chở hành khách khi vận chuyển (trừ trường hợp vận chuyển kiện miễn trừ).
	Ngoài việc thực hiện các điều kiện trên, tổ chức, cá nhân vận chuyển nguồn phóng xạ, chất thải phóng xạ, vật liệu hạt nhân nguồn, vật liệu hạt nhân còn phải tuân thủ các điều kiện quy định tại Nghị định số 42/2020/NĐ-CP ngày 08/4/2020 của Chính phủ quy định Danh mục hàng hóa nguy hiểm, vận chuyển hàng hóa nguy hiểm bằng phương tiện giao thông cơ giới đường bộ và vận chuyển hàng hóa nguy hiểm trên đường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 Đóng gói, vận chuyển nguồn phóng xạ, chất thải phóng xạ, vật liệu hạt nhân nguồn, vật liệu hạt nhân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2026-05-20T05:01:57Z</dcterms:created>
  <dc:creator>Apache POI</dc:creator>
</cp:coreProperties>
</file>