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bổ sung giấy phép tiến hành công việc bức xạ (trừ trường hợp sử dụng thiết bị X-quang chẩn đoán trong y tế;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bổ sung giấy phép trong các trường hợp bổ sung nguồn phóng xạ mới, thiết bị bức xạ mới so với giấy phép đã được cấp; tăng tổng hoạt độ đối với nguồn phóng xạ hở trong giấy phép đã được cấp; bổ sung loại hình công việc bức xạ mới so với giấy phép đã được cấp. Không áp dụng bổ sung giấy phép trong các trường hợp sau sau: xuất khẩu, nhập khẩu nguồn phóng xạ, vật liệu hạt nhân nguồn, vật liệu hạt nhân, thiết bị hạt nhân; vận chuyển quá cảnh nguồn phóng xạ, vật liệu hạt nhân nguồn, vật liệu hạt nhân; xây dựng cơ sở bức xạ; chấm dứt hoạt động cơ sở bức xạ; đề nghị bổ sung công việc bức xạ mới thuộc thẩm quyền cấp giấy phép của cơ quan khác với cơ quan đã cấp giấy phép).</w:t>
      </w:r>
    </w:p>
    <w:p>
      <w:pPr>
        <w:spacing w:after="0" w:before="0" w:lineRule="auto" w:line="276"/>
        <w:jc w:val="both"/>
      </w:pPr>
      <w:r>
        <w:rPr>
          <w:rFonts w:ascii="Times New Roman" w:hAnsi="Times New Roman" w:cs="Times New Roman" w:eastAsia="Times New Roman"/>
          <w:b w:val="false"/>
          <w:sz w:val="26"/>
        </w:rPr>
        <w:t>Bước 1: Tổ chức, cá nhân có nhu cầu bổ sung giấy phép tiến hành công việc bức xạ cần nộp hồ sơ đề nghị bổ sung giấy phép tiến hành công việc bức xạ đến cơ quan có thẩm quyền đã cấp giấy phép đó, cụ thể:
- Trường hợp giấy phép do Bộ Khoa học và Công nghệ cấp, hồ sơ đề nghị bổ sung giấy phép tiến hành công việc bức xạ phải được gửi đến Bộ Khoa học và Công nghệ;
- Trường hợp giấy phép do Cục An toàn bức xạ và hạt nhân cấp, hồ sơ đề nghị bổ sung giấy phép tiến hành công việc bức xạ phải được gửi đến Cục An toàn bức xạ và hạt nhân.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Bộ Khoa học và Công nghệ/ Cục An toàn bức xạ và hạt nhân kiểm tra tính đầy đủ, hợp lệ của hồ sơ thông báo bằng văn bản yêu cầu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đủ hồ sơ hợp lệ, Bộ Khoa học và Công nghệ/Cục An toàn bức xạ và hạt nhân tổ chức thẩm định và cấp bổ sung giấy phép tiến hành công việc bức xạ hoặc văn bản trả lời nêu rõ lý do trong trường hợp không cấp bổ sung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Không Đồng</w:t>
              <w:t xml:space="preserve"> (Không)</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bổ sung giấy phép</w:t>
            </w:r>
          </w:p>
        </w:tc>
        <w:tc>
          <w:p/>
          <w:p>
            <w:pPr>
              <w:spacing w:after="0" w:before="0" w:lineRule="auto" w:line="276"/>
              <w:jc w:val="left"/>
            </w:pPr>
            <w:r>
              <w:rPr>
                <w:rFonts w:ascii="Times New Roman" w:hAnsi="Times New Roman" w:cs="Times New Roman" w:eastAsia="Times New Roman"/>
                <w:b w:val="false"/>
                <w:sz w:val="26"/>
              </w:rPr>
              <w:t>Mau 7_Don sua doi, bo sung GP.doc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cần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nguồn phóng xạ, thiết bị bức xạ mới (Mẫu kèm theo) đối với trường hợp bổ sung nguồn phóng xạ, thiết bị bức xạ; kèm theo bản sao tài liệu của nhà sản xuất cung cấp các thông tin như trong phiếu khai báo</w:t>
            </w:r>
          </w:p>
        </w:tc>
        <w:tc>
          <w:p/>
          <w:p>
            <w:pPr>
              <w:spacing w:after="0" w:before="0" w:lineRule="auto" w:line="276"/>
              <w:jc w:val="left"/>
            </w:pPr>
            <w:r>
              <w:rPr>
                <w:rFonts w:ascii="Times New Roman" w:hAnsi="Times New Roman" w:cs="Times New Roman" w:eastAsia="Times New Roman"/>
                <w:b w:val="false"/>
                <w:sz w:val="26"/>
              </w:rPr>
              <w:t>Mau 03_KB nguon PX.doc</w:t>
            </w:r>
          </w:p>
          <w:p>
            <w:pPr>
              <w:spacing w:after="0" w:before="0" w:lineRule="auto" w:line="276"/>
              <w:jc w:val="left"/>
            </w:pPr>
            <w:r>
              <w:rPr>
                <w:rFonts w:ascii="Times New Roman" w:hAnsi="Times New Roman" w:cs="Times New Roman" w:eastAsia="Times New Roman"/>
                <w:b w:val="false"/>
                <w:sz w:val="26"/>
              </w:rPr>
              <w:t>Mau 04_KB nguon PX kin gan thiet bi.doc</w:t>
            </w:r>
          </w:p>
          <w:p>
            <w:pPr>
              <w:spacing w:after="0" w:before="0" w:lineRule="auto" w:line="276"/>
              <w:jc w:val="left"/>
            </w:pPr>
            <w:r>
              <w:rPr>
                <w:rFonts w:ascii="Times New Roman" w:hAnsi="Times New Roman" w:cs="Times New Roman" w:eastAsia="Times New Roman"/>
                <w:b w:val="false"/>
                <w:sz w:val="26"/>
              </w:rPr>
              <w:t>Mau 06_KB nguon PX ho.doc</w:t>
            </w:r>
          </w:p>
          <w:p>
            <w:pPr>
              <w:spacing w:after="0" w:before="0" w:lineRule="auto" w:line="276"/>
              <w:jc w:val="left"/>
            </w:pPr>
            <w:r>
              <w:rPr>
                <w:rFonts w:ascii="Times New Roman" w:hAnsi="Times New Roman" w:cs="Times New Roman" w:eastAsia="Times New Roman"/>
                <w:b w:val="false"/>
                <w:sz w:val="26"/>
              </w:rPr>
              <w:t>Mau 09_KB may gia toc.doc</w:t>
            </w:r>
          </w:p>
          <w:p>
            <w:pPr>
              <w:spacing w:after="0" w:before="0" w:lineRule="auto" w:line="276"/>
              <w:jc w:val="left"/>
            </w:pPr>
            <w:r>
              <w:rPr>
                <w:rFonts w:ascii="Times New Roman" w:hAnsi="Times New Roman" w:cs="Times New Roman" w:eastAsia="Times New Roman"/>
                <w:b w:val="false"/>
                <w:sz w:val="26"/>
              </w:rPr>
              <w:t>Mau 10_KB may phat notoron.doc</w:t>
            </w:r>
          </w:p>
          <w:p>
            <w:pPr>
              <w:spacing w:after="0" w:before="0" w:lineRule="auto" w:line="276"/>
              <w:jc w:val="left"/>
            </w:pPr>
            <w:r>
              <w:rPr>
                <w:rFonts w:ascii="Times New Roman" w:hAnsi="Times New Roman" w:cs="Times New Roman" w:eastAsia="Times New Roman"/>
                <w:b w:val="false"/>
                <w:sz w:val="26"/>
              </w:rPr>
              <w:t>Mẫu số 05.PL III-KB nguồn PX kín docx.docx</w:t>
            </w:r>
          </w:p>
          <w:p>
            <w:pPr>
              <w:spacing w:after="0" w:before="0" w:lineRule="auto" w:line="276"/>
              <w:jc w:val="left"/>
            </w:pPr>
            <w:r>
              <w:rPr>
                <w:rFonts w:ascii="Times New Roman" w:hAnsi="Times New Roman" w:cs="Times New Roman" w:eastAsia="Times New Roman"/>
                <w:b w:val="false"/>
                <w:sz w:val="26"/>
              </w:rPr>
              <w:t>Mẫu số 14.PL III. KB chất thải.docx</w:t>
            </w:r>
          </w:p>
          <w:p>
            <w:pPr>
              <w:spacing w:after="0" w:before="0" w:lineRule="auto" w:line="276"/>
              <w:jc w:val="left"/>
            </w:pPr>
            <w:r>
              <w:rPr>
                <w:rFonts w:ascii="Times New Roman" w:hAnsi="Times New Roman" w:cs="Times New Roman" w:eastAsia="Times New Roman"/>
                <w:b w:val="false"/>
                <w:sz w:val="26"/>
              </w:rPr>
              <w:t>Mẫu số 01-PLIII- KB nhân viên bức xạ.docx</w:t>
            </w:r>
          </w:p>
          <w:p>
            <w:pPr>
              <w:spacing w:after="0" w:before="0" w:lineRule="auto" w:line="276"/>
              <w:jc w:val="left"/>
            </w:pPr>
            <w:r>
              <w:rPr>
                <w:rFonts w:ascii="Times New Roman" w:hAnsi="Times New Roman" w:cs="Times New Roman" w:eastAsia="Times New Roman"/>
                <w:b w:val="false"/>
                <w:sz w:val="26"/>
              </w:rPr>
              <w:t>Mẫu số 02-PL III-KB nhân viên áp tải hàng.docx</w:t>
            </w:r>
          </w:p>
          <w:p>
            <w:pPr>
              <w:spacing w:after="0" w:before="0" w:lineRule="auto" w:line="276"/>
              <w:jc w:val="left"/>
            </w:pPr>
            <w:r>
              <w:rPr>
                <w:rFonts w:ascii="Times New Roman" w:hAnsi="Times New Roman" w:cs="Times New Roman" w:eastAsia="Times New Roman"/>
                <w:b w:val="false"/>
                <w:sz w:val="26"/>
              </w:rPr>
              <w:t>Mẫu số 11-PLIII- KB vật liệu HN nguồn.docx</w:t>
            </w:r>
          </w:p>
          <w:p>
            <w:pPr>
              <w:spacing w:after="0" w:before="0" w:lineRule="auto" w:line="276"/>
              <w:jc w:val="left"/>
            </w:pPr>
            <w:r>
              <w:rPr>
                <w:rFonts w:ascii="Times New Roman" w:hAnsi="Times New Roman" w:cs="Times New Roman" w:eastAsia="Times New Roman"/>
                <w:b w:val="false"/>
                <w:sz w:val="26"/>
              </w:rPr>
              <w:t>Mẫu số 12.PLIII-KB vật liệu hạt nhân.docx</w:t>
            </w:r>
          </w:p>
          <w:p>
            <w:pPr>
              <w:spacing w:after="0" w:before="0" w:lineRule="auto" w:line="276"/>
              <w:jc w:val="left"/>
            </w:pPr>
            <w:r>
              <w:rPr>
                <w:rFonts w:ascii="Times New Roman" w:hAnsi="Times New Roman" w:cs="Times New Roman" w:eastAsia="Times New Roman"/>
                <w:b w:val="false"/>
                <w:sz w:val="26"/>
              </w:rPr>
              <w:t>Mẫu số 13.PLIII-KB thiết bị hạt nhân.docx</w:t>
            </w:r>
          </w:p>
          <w:p>
            <w:pPr>
              <w:spacing w:after="0" w:before="0" w:lineRule="auto" w:line="276"/>
              <w:jc w:val="left"/>
            </w:pPr>
            <w:r>
              <w:rPr>
                <w:rFonts w:ascii="Times New Roman" w:hAnsi="Times New Roman" w:cs="Times New Roman" w:eastAsia="Times New Roman"/>
                <w:b w:val="false"/>
                <w:sz w:val="26"/>
              </w:rPr>
              <w:t>Mẫu số 15 -PL III-KB nhân viên thực hiện dịch vụ hỗ trợ.docx</w:t>
            </w:r>
          </w:p>
          <w:p>
            <w:pPr>
              <w:spacing w:after="0" w:before="0" w:lineRule="auto" w:line="276"/>
              <w:jc w:val="left"/>
            </w:pPr>
            <w:r>
              <w:rPr>
                <w:rFonts w:ascii="Times New Roman" w:hAnsi="Times New Roman" w:cs="Times New Roman" w:eastAsia="Times New Roman"/>
                <w:b w:val="false"/>
                <w:sz w:val="26"/>
              </w:rPr>
              <w:t>Mẫu số 16-PL III-KB báo thiết bị-.docx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nhân viên trong trường hợp nhân viên đảm nhiệm công việc bức xạ được bổ sung yêu cầu phải có Chứng chỉ nhân viên bức xạ theo quy định tại khoản 1 Điều 28 của Luật năng lượng nguyên tử. Trường hợp chưa có chứng chỉ, phải nộp hồ sơ đề nghị cấp Chứng chỉ nhân viên bức xạ theo quy định tại Điều 35 của Nghị định này cùng hồ sơ đề nghị bổ sung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đối với công việc bức xạ bổ sung (theo mẫu)</w:t>
            </w:r>
          </w:p>
        </w:tc>
        <w:tc>
          <w:p/>
          <w:p>
            <w:pPr>
              <w:spacing w:after="0" w:before="0" w:lineRule="auto" w:line="276"/>
              <w:jc w:val="left"/>
            </w:pPr>
            <w:r>
              <w:rPr>
                <w:rFonts w:ascii="Times New Roman" w:hAnsi="Times New Roman" w:cs="Times New Roman" w:eastAsia="Times New Roman"/>
                <w:b w:val="false"/>
                <w:sz w:val="26"/>
              </w:rPr>
              <w:t>PL05_mu1-3vamu6-12-MauBaocaoDGAT.doc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quy định về việc tiến hành công việc bức xạ và hoạt động dịch vụ hỗ trợ ứng dụng năng lượng nguyên tử.</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bổ sung giấy phép tiến hành công việc bức xạ (trừ trường hợp sử dụng thiết bị X-quang chẩn đoán trong y tế;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2026-05-19T13:03:02Z</dcterms:created>
  <dc:creator>Apache POI</dc:creator>
</cp:coreProperties>
</file>