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đăng ký hoạt động dịch vụ hỗ trợ ứng dụng năng lượng nguyên tử - Hiệu chuẩn thiết bị ghi đo bức xạ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đề nghị cấp Giấy đăng ký hoạt động dịch vụ hỗ trợ ứng dụng năng lượng nguyên tử - hiệu chuẩn thiết bị ghi đo bức xạ nộp hồ sơ đến Cục ATBXHN.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Cục ATBXHN. kiểm tra tính đầy đủ, hợp lệ của hồ sơ và thông báo bằng văn bản mức phí, lệ phí đối với hồ sơ hợp lệ hoặc thông báo bằng văn bản yêu cầu bổ sung hồ sơ nếu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30 ngày kể từ ngày nhận đủ hồ sơ hợp lệ và phí, lệ phí, Cục ATBXHN. tổ chức thẩm định hồ sơ và cấp Giấy đăng ký hoạt động dịch vụ hỗ trợ ứng dụng năng lượng nguyên tử.
Trường hợp không cấp Giấy đăng ký hoạt động, Cục ATBXHN.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7.000.000 Đồng</w:t>
              <w:t xml:space="preserve"> (Phí thẩm định để cấp giấy Đăng ký hoạt động dịch vụ: 7.000.000 đồng/1 dịch vụ.)</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phí, lệ phí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7.000.000 Đồng</w:t>
              <w:t xml:space="preserve"> (Phí thẩm định để cấp giấy Đăng ký hoạt động dịch vụ: 7.000.000 đồng/1 dịch vụ.)</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phí, lệ phí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7.000.000 Đồng</w:t>
              <w:t xml:space="preserve"> (Phí thẩm định để cấp giấy Đăng ký hoạt động dịch vụ: 7.000.000 đồng/1 dịch vụ.)</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phí, lệ phí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đăng ký hoạt động</w:t>
            </w:r>
          </w:p>
        </w:tc>
        <w:tc>
          <w:p/>
          <w:p>
            <w:pPr>
              <w:spacing w:after="0" w:before="0" w:lineRule="auto" w:line="276"/>
              <w:jc w:val="left"/>
            </w:pPr>
            <w:r>
              <w:rPr>
                <w:rFonts w:ascii="Times New Roman" w:hAnsi="Times New Roman" w:cs="Times New Roman" w:eastAsia="Times New Roman"/>
                <w:b w:val="false"/>
                <w:sz w:val="26"/>
              </w:rPr>
              <w:t>Mau 9_Don cap DKDV.doc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của một trong các loại giấy tờ sau: Quyết định thành lập tổ chức, Giấy chứng nhận đăng ký doanh nghiệp, Giấy chứng nhận đăng ký đầu tư, Giấy chứng nhận đăng ký hoạt động khoa học và công nghệ, các loại giấy tờ khác có giá trị tương đương. Trường hợp giấy tờ bị thất lạc phải có xác nhận của cơ quan ban hành hoặc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khai báo nhân viên thực hiện dịch (mẫu kèm theo), kèm theo Bản sao quyết định tuyển dụng hoặc hợp đồng lao động của tổ chức đề nghị cấp Giấy đăng ký hoạt động đối với nhân viên thực hiện dịch vụ</w:t>
            </w:r>
          </w:p>
        </w:tc>
        <w:tc>
          <w:p/>
          <w:p>
            <w:pPr>
              <w:spacing w:after="0" w:before="0" w:lineRule="auto" w:line="276"/>
              <w:jc w:val="left"/>
            </w:pPr>
            <w:r>
              <w:rPr>
                <w:rFonts w:ascii="Times New Roman" w:hAnsi="Times New Roman" w:cs="Times New Roman" w:eastAsia="Times New Roman"/>
                <w:b w:val="false"/>
                <w:sz w:val="26"/>
              </w:rPr>
              <w:t>Mau 15_KB thiet bi, nhan vien DV.doc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hành nghề dịch vụ tương ứng với loại hình dịch vụ của các nhân viên thực hiện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khai báo trang thiết bị phục vụ hoạt động dịch vụ tương ứng</w:t>
            </w:r>
          </w:p>
        </w:tc>
        <w:tc>
          <w:p/>
          <w:p>
            <w:pPr>
              <w:spacing w:after="0" w:before="0" w:lineRule="auto" w:line="276"/>
              <w:jc w:val="left"/>
            </w:pPr>
            <w:r>
              <w:rPr>
                <w:rFonts w:ascii="Times New Roman" w:hAnsi="Times New Roman" w:cs="Times New Roman" w:eastAsia="Times New Roman"/>
                <w:b w:val="false"/>
                <w:sz w:val="26"/>
              </w:rPr>
              <w:t>Mau 16_KB thiet bi thu hien DV - Copy.doc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phân tích an toàn</w:t>
            </w:r>
          </w:p>
        </w:tc>
        <w:tc>
          <w:p/>
          <w:p>
            <w:pPr>
              <w:spacing w:after="0" w:before="0" w:lineRule="auto" w:line="276"/>
              <w:jc w:val="left"/>
            </w:pPr>
            <w:r>
              <w:rPr>
                <w:rFonts w:ascii="Times New Roman" w:hAnsi="Times New Roman" w:cs="Times New Roman" w:eastAsia="Times New Roman"/>
                <w:b w:val="false"/>
                <w:sz w:val="26"/>
              </w:rPr>
              <w:t>Mau 12_PL5_BC hoat dong DV.doc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dịch vụ đọc liều chiếu xạ cá nhân của nhân viên thực hiện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tiến hành công việc bức xạ sử dụng chất phóng xạ, thiết bị bức xạ đối với trường hợp tổ chức có sử dụng chất phóng xạ, thiết bị bức xạ trên mức miễn trừ khai báo, cấp giấy phép theo quy định tại Quy chuẩn kỹ thuật quốc gia QCVN 5:2010/BKHCN trong quy trình thực hiện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khác chứng minh điều kiện cơ sở vật chất, kỹ thuật đáp ứng yêu cầu tương ứng với loại hình dịch vụ theo quy định của Nghị định 142/2020/NĐ-CP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113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dịch vụ ứng dụng năng lượng nguyên tử - Hiệu chuẩn thiết bị ghi đo bức xạ.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được thành lập, hoạt động theo quy định của pháp luật;
        - Có ít nhất hai người có chứng chỉ hành nghề dịch vụ hỗ trợ ứng dụng năng lượng nguyên tử.
	- Có nguồn phóng xạ chuẩn, thiết bị bức xạ được hiệu chuẩn tại phòng chuẩn đo lường bức xạ, hạt nhân quốc gia hoặc quốc tế.
	- Có phòng chuẩn thực hiện hiệu chuẩn thiết bị ghi đo bức xạ đáp ứng yêu cầu sau:
+ Thiết kế che chắn bảo đảm an toàn bức xạ cho nhân viên bức xạ, công chúng và bảo đảm việc hiệu chuẩn không bị ảnh hưởng bởi phóng xạ môi trường;
+ Có hệ thống kiểm soát nhiệt độ, độ ẩm để bảo đảm chất lượng của hoạt động hiệu chuẩn;
+ Trường hợp không có thiết kế phòng hoặc không có hướng dẫn về kích thước phòng của nhà cung cấp thiết bị hoặc nguồn chuẩn, phải bảo đảm kích thước tối thiểu của phòng chuẩn theo quy định tại Phụ lục VII của Nghị định 142/2020/NĐ-CP.
- Có thiết bị đo suất liều bức xạ; thiết bị này phải có Giấy chứng nhận hiệu chuẩn còn hiệu lực ít nhất 30 ngày kể từ ngày hồ sơ được tiếp nhận.
	- Có liều kế cá nhân và trang thiết bị bảo hộ chống chiếu xạ ngoài cho nhân viên thực hiện dịch vụ. Trường hợp hoạt động dịch vụ có tiếp xúc với nguồn phóng xạ hở phải có trang thiết bị bảo hộ chống chiếu xạ trong cho nhân viên thực hiện dịch vụ.
	- Có chương trình bảo đảm chất lượng thực hiện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đăng ký hoạt động dịch vụ hỗ trợ ứng dụng năng lượng nguyên tử - Hiệu chuẩn thiết bị ghi đo bức xạ</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2026-05-23T16:43:16Z</dcterms:created>
  <dc:creator>Apache POI</dc:creator>
</cp:coreProperties>
</file>