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3708/QĐ-NHNN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giao dịch ngoại hối liên quan đến đầu tư ra nước ngoài trong hoạt động dầu khí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gửi 01 bộ hồ sơ đăng ký giao dịch ngoại hối đến Ngân hàng Nhà nước chi nhánh Khu vực nơi nhà đầu tư là tổ chức có trụ sở chính trên địa bàn hoặc nhà đầu tư là cá nhân đăng ký thường trú trên địa bàn.</w:t>
      </w:r>
    </w:p>
    <w:p>
      <w:pPr>
        <w:spacing w:after="0" w:before="0" w:lineRule="auto" w:line="276"/>
        <w:jc w:val="both"/>
      </w:pPr>
      <w:r>
        <w:rPr>
          <w:rFonts w:ascii="Times New Roman" w:hAnsi="Times New Roman" w:cs="Times New Roman" w:eastAsia="Times New Roman"/>
          <w:b w:val="false"/>
          <w:sz w:val="26"/>
        </w:rPr>
        <w:t>+ Bước 2: Trường hợp hồ sơ chưa đầy đủ, trong thời hạn 05 ngày làm việc kể từ ngày nhận được hồ sơ, Ngân hàng Nhà nước chi nhánh Khu vực có văn bản yêu cầu nhà đầu tư bổ sung hồ sơ.</w:t>
      </w:r>
    </w:p>
    <w:p>
      <w:pPr>
        <w:spacing w:after="0" w:before="0" w:lineRule="auto" w:line="276"/>
        <w:jc w:val="both"/>
      </w:pPr>
      <w:r>
        <w:rPr>
          <w:rFonts w:ascii="Times New Roman" w:hAnsi="Times New Roman" w:cs="Times New Roman" w:eastAsia="Times New Roman"/>
          <w:b w:val="false"/>
          <w:sz w:val="26"/>
        </w:rPr>
        <w:t>+ Bước 3: Trong thời hạn 10 ngày làm việc kể từ ngày nhận đủ hồ sơ, Ngân hàng Nhà nước chi nhánh Khu vực xác nhận hoặc từ chối xác nhận đăng ký giao dịch ngoại hối liên quan đến đầu tư ra nước ngoài trong hoạt động dầu khí dưới hình thức văn bản điện tử hoặc văn bản giấy gửi nhà đầu tư. Trường hợp từ chối xác nhận đăng ký giao dịch ngoại hối, Ngân hàng Nhà nước chi nhánh Khu vực phải nêu rõ lý do và có văn bản điện tử hoặc văn bản giấy gửi nhà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Trụ sở cơ quan hành chính (trực tiếp tại Bộ phận Một cửa): 10 ngày làm việc kể từ ngày NHNN Việt Nam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gửi hồ sơ trực tuyến qua Cổng dịch vụ công Quốc gia, hồ sơ điện tử được sử dụng chữ ký số theo quy định của pháp luật về thực hiện thủ tục hành chính trên môi trường điện tử. 
Trường hợp hệ thống Cổng dịch vụ công Quốc gia gặp sự cố hoặc có lỗi không thể tiếp nhận, trao đổi thông tin điện tử, việc khai, gửi, tiếp nhận, trả kết quả, trao đổi, phản hồi thông tin được thực hiện qua dịch vụ bưu chính hoặc trực tiếp tại Bộ phận Một cửa của Ngân hàng Nhà nước chi nhánh Khu vực nơi xác nhận đăng ký giao dịch ngoại hối.
Các tài liệu trong hồ sơ điện tử là bản điện tử quét từ bản gốc, bản chính (tập tin định dạng PDF) hoặc được khai trên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đường bưu điện (dịch vụ bưu chính công ích): 10 ngày làm việc kể từ ngày NHNN Việt Nam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giao dịch ngoại hối theo Mẫu số 01 tại Phụ lục kèm theo Nghị định 132/2024/NĐ-CP;</w:t>
            </w:r>
          </w:p>
        </w:tc>
        <w:tc>
          <w:p/>
          <w:p>
            <w:pPr>
              <w:spacing w:after="0" w:before="0" w:lineRule="auto" w:line="276"/>
              <w:jc w:val="left"/>
            </w:pPr>
            <w:r>
              <w:rPr>
                <w:rFonts w:ascii="Times New Roman" w:hAnsi="Times New Roman" w:cs="Times New Roman" w:eastAsia="Times New Roman"/>
                <w:b w:val="false"/>
                <w:sz w:val="26"/>
              </w:rPr>
              <w:t>Mauso01Nghidinh132.2024.docx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xuất trình bản chính để đối chiếu giấy phép đầu tư hoặc giấy chứng nhận đầu tư ra nước ngoài hoặc giấy chứng nhận đăng ký đầu tư ra nước ngoài. Trường hợp nhà đầu tư nộp bản sao kèm xuất trình bản chính để đối chiếu, người đối chiếu có trách nhiệm xác nhận tính chính xác của bản sao so với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tiếng nước ngoài, bản dịch tiếng Việt (có xác nhận của nhà đầu tư về tính chính xác của bản sao và bản dịch) văn bản chấp thuận hoặc cấp phép đầu tư do cơ quan có thẩm quyền của nước tiếp nhận đầu tư cấp hoặc tài liệu chứng minh quyền hoạt động đầu tư tại nước tiếp nhận đầu tư phù hợp với quy định của nước tiếp nhận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văn bản xác nhận của tổ chức tín dụng được phép về việc mở tài khoản vốn đầu tư của nhà đầu tư trong đó nêu rõ số tài khoản, loại ngoại tệ;.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văn bản xác nhận của tổ chức tín dụng được phép về số tiền nhà đầu tư đã chuyển ra nước ngoài trước khi được cấp giấy chứng nhận đăng ký đầu tư ra nước ngoài đối với trường hợp đã chuyển vốn đầu tư ra nước ngoài trước khi được cấp giấy chứng nhận đăng ký đầu tư ra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giải trình về nhu cầu chuyển vốn đầu tư ra nước ngoài bằng đồng Việt Nam đối với trường hợp chuyển vốn đầu tư ra nước ngoài bằng đồng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Khu vực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đăng ký giao dịch ngoại hối liên quan đến đầu tư ra nước ngoài trong hoạt động dầu khí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40/2025/TT-NHNN</w:t>
            </w:r>
          </w:p>
        </w:tc>
        <w:tc>
          <w:p/>
          <w:p>
            <w:pPr>
              <w:spacing w:after="0" w:before="0" w:lineRule="auto" w:line="276"/>
              <w:jc w:val="left"/>
            </w:pPr>
            <w:r>
              <w:rPr>
                <w:rFonts w:ascii="Times New Roman" w:hAnsi="Times New Roman" w:cs="Times New Roman" w:eastAsia="Times New Roman"/>
                <w:b w:val="false"/>
                <w:sz w:val="26"/>
              </w:rPr>
              <w:t>Thông tư hướng dẫn về quản lý ngoại hối đối với đầu tư ra nước ngoài trong hoạt động dầu khí.</w:t>
            </w:r>
          </w:p>
        </w:tc>
        <w:tc>
          <w:p/>
          <w:p>
            <w:pPr>
              <w:spacing w:after="0" w:before="0" w:lineRule="auto" w:line="276"/>
              <w:jc w:val="left"/>
            </w:pPr>
            <w:r>
              <w:rPr>
                <w:rFonts w:ascii="Times New Roman" w:hAnsi="Times New Roman" w:cs="Times New Roman" w:eastAsia="Times New Roman"/>
                <w:b w:val="false"/>
                <w:sz w:val="26"/>
              </w:rPr>
              <w:t>31-10-2025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132/2024/NĐ-CP</w:t>
            </w:r>
          </w:p>
        </w:tc>
        <w:tc>
          <w:p/>
          <w:p>
            <w:pPr>
              <w:spacing w:after="0" w:before="0" w:lineRule="auto" w:line="276"/>
              <w:jc w:val="left"/>
            </w:pPr>
            <w:r>
              <w:rPr>
                <w:rFonts w:ascii="Times New Roman" w:hAnsi="Times New Roman" w:cs="Times New Roman" w:eastAsia="Times New Roman"/>
                <w:b w:val="false"/>
                <w:sz w:val="26"/>
              </w:rPr>
              <w:t>Nghị định quy định về đầu tư ra nước ngoài trong hoạt động dầu khí.</w:t>
            </w:r>
          </w:p>
        </w:tc>
        <w:tc>
          <w:p/>
          <w:p>
            <w:pPr>
              <w:spacing w:after="0" w:before="0" w:lineRule="auto" w:line="276"/>
              <w:jc w:val="left"/>
            </w:pPr>
            <w:r>
              <w:rPr>
                <w:rFonts w:ascii="Times New Roman" w:hAnsi="Times New Roman" w:cs="Times New Roman" w:eastAsia="Times New Roman"/>
                <w:b w:val="false"/>
                <w:sz w:val="26"/>
              </w:rPr>
              <w:t>15-10-2024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Số bộ hồ sơ	01</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2026-05-25T19:38:25Z</dcterms:created>
  <dc:creator>Apache POI</dc:creator>
</cp:coreProperties>
</file>