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1955/QĐ-BTP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danh sách trọng tài viên Luật 54/2010/QH12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Trung tâm trọng tài, Chi nhánh của Tổ chức trọng tài nước ngoài thay đổi danh sách Trọng tài viên, thì trong thời hạn 07 ngày làm việc, kể từ ngày quyết định thay đổi phải thông báo bằng văn bản cho Sở Tư pháp, nơi Trung tâm trọng tài, Chi nhánh của Tổ chức trọng tài nước ngoài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trực tiếp hoặc gửi qua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báo trực tiếp hoặc gửi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danh sách sách trọng tài viên của Trung tâm trọng tài/Chi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Mẫu số 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Sở Tư pháp công bố Danh sách trọng tài viên đã được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54/2010/QH12 - Trọng tài thương mại</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42/2013/TT-BTC</w:t>
            </w:r>
          </w:p>
        </w:tc>
        <w:tc>
          <w:p/>
          <w:p>
            <w:pPr>
              <w:spacing w:after="0" w:before="0" w:lineRule="auto" w:line="276"/>
              <w:jc w:val="left"/>
            </w:pPr>
            <w:r>
              <w:rPr>
                <w:rFonts w:ascii="Times New Roman" w:hAnsi="Times New Roman" w:cs="Times New Roman" w:eastAsia="Times New Roman"/>
                <w:b w:val="false"/>
                <w:sz w:val="26"/>
              </w:rPr>
              <w:t>Thông tư 42/2013/TT-BTC</w:t>
            </w:r>
          </w:p>
        </w:tc>
        <w:tc>
          <w:p/>
          <w:p>
            <w:pPr>
              <w:spacing w:after="0" w:before="0" w:lineRule="auto" w:line="276"/>
              <w:jc w:val="left"/>
            </w:pPr>
            <w:r>
              <w:rPr>
                <w:rFonts w:ascii="Times New Roman" w:hAnsi="Times New Roman" w:cs="Times New Roman" w:eastAsia="Times New Roman"/>
                <w:b w:val="false"/>
                <w:sz w:val="26"/>
              </w:rPr>
              <w:t>11-04-2013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2026-05-14T18:44:26Z</dcterms:created>
  <dc:creator>Apache POI</dc:creator>
</cp:coreProperties>
</file>