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1924/QĐ_BQP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chứng thư số cho cơ quan,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thẩm quyền của cơ quan, tổ chức theo quy định của pháp luật về quản lý và sử dụng con dấu được cơ quan, tổ chức giao quản lý chứng thư số của cơ quan, tổ chức phải có văn bản đề nghị gia hạn chứng thư số có xác nhận của cơ quan, tổ chức quản lý trực tiếp gửi đến Cục Chứng thực số và Bảo mật thông tin/Ban Cơ yếu Chính phủ.</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tiếp nhận đề nghị gia hạn chứng thư số, Cục Chứng thực số và Bảo mật thông tin/Ban Cơ yếu Chính phủ có trách nhiệm gia hạn chứng thư số cho thuê bao và thông báo cho cơ quan, tổ chức quản lý trực tiếp biết.</w:t>
      </w:r>
    </w:p>
    <w:p>
      <w:pPr>
        <w:spacing w:after="0" w:before="0" w:lineRule="auto" w:line="276"/>
        <w:jc w:val="both"/>
      </w:pPr>
      <w:r>
        <w:rPr>
          <w:rFonts w:ascii="Times New Roman" w:hAnsi="Times New Roman" w:cs="Times New Roman" w:eastAsia="Times New Roman"/>
          <w:b w:val="false"/>
          <w:sz w:val="26"/>
        </w:rPr>
        <w:t>Trường hợp không chấp nhận đề nghị gia hạn chứng thư số, Cục Chứng thực số và Bảo mật thông tin/Ban Cơ yếu Chính phủ thông báo bằng văn bản nêu rõ lý do cho cơ quan, tổ chức quản lý trực tiếp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chứng thư số có xác nhận của cơ quan, tổ chức quản lý trực tiếp.</w:t>
            </w:r>
          </w:p>
        </w:tc>
        <w:tc>
          <w:p/>
          <w:p>
            <w:pPr>
              <w:spacing w:after="0" w:before="0" w:lineRule="auto" w:line="276"/>
              <w:jc w:val="left"/>
            </w:pPr>
            <w:r>
              <w:rPr>
                <w:rFonts w:ascii="Times New Roman" w:hAnsi="Times New Roman" w:cs="Times New Roman" w:eastAsia="Times New Roman"/>
                <w:b w:val="false"/>
                <w:sz w:val="26"/>
              </w:rPr>
              <w:t>MAU 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quản lý trực tiếp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Chứng thực số và Bảo mật thông tin/Ban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23 Ngụy Như Kon Tum, Thanh Xuân,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thư số cho cơ quan, tổ chức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130/2018/NĐ-CP</w:t>
            </w:r>
          </w:p>
        </w:tc>
        <w:tc>
          <w:p/>
          <w:p>
            <w:pPr>
              <w:spacing w:after="0" w:before="0" w:lineRule="auto" w:line="276"/>
              <w:jc w:val="left"/>
            </w:pPr>
            <w:r>
              <w:rPr>
                <w:rFonts w:ascii="Times New Roman" w:hAnsi="Times New Roman" w:cs="Times New Roman" w:eastAsia="Times New Roman"/>
                <w:b w:val="false"/>
                <w:sz w:val="26"/>
              </w:rPr>
              <w:t>Nghị định số 130/2018/NĐ-CP ngày 27/9/2018 của Chính phủ quy định chi tiết thi hành Luật giao dịch điện tử về chữ ký số và dịch vụ chứng thực chữ ký số.</w:t>
            </w:r>
          </w:p>
        </w:tc>
        <w:tc>
          <w:p/>
          <w:p>
            <w:pPr>
              <w:spacing w:after="0" w:before="0" w:lineRule="auto" w:line="276"/>
              <w:jc w:val="left"/>
            </w:pPr>
            <w:r>
              <w:rPr>
                <w:rFonts w:ascii="Times New Roman" w:hAnsi="Times New Roman" w:cs="Times New Roman" w:eastAsia="Times New Roman"/>
                <w:b w:val="false"/>
                <w:sz w:val="26"/>
              </w:rPr>
              <w:t>27-09-2018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thư số chỉ được đề nghị gia hạn 01 lần và phải đảm bảo còn thời hạn sử dụng ít nhất 60 ngày.
Cơ quan, tổ chức, cá nhân phải có văn bản đề nghị, được Người quản lý thuê bao phê duyệt và đề nghị gia hạn chứng thư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2026-05-19T12:36:27Z</dcterms:created>
  <dc:creator>Apache POI</dc:creator>
</cp:coreProperties>
</file>