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vận chuyển hàng hóa nguy hiểm về cháy, nổ thuộc loại 1, loại 2, loại 3, loại 4 và loại 9 bằng phương tiện giao thông cơ giới đường bộ, trên đường thủy nội địa (trừ vật liệu nổ công nghiệp)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Phòng Cảnh sát phòng cháy, chữa cháy và cứu nạn, cứu hộ Công an cấp tỉnh, thành phố trực thuộc trung ương.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Phòng Cảnh sát phòng cháy, chữa cháy và cứu nạn, cứu hộ Công an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cảnh sát phòng cháy, chữa cháy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vận chuyển hàng hóa nguy hiểm về cháy, nổ (Mẫu số PC 05), Biểu trưng hàng hoá nguy hiểm về cháy, nổ</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08/2001/L-CTN</w:t>
            </w:r>
          </w:p>
        </w:tc>
        <w:tc>
          <w:p/>
          <w:p>
            <w:pPr>
              <w:spacing w:after="0" w:before="0" w:lineRule="auto" w:line="276"/>
              <w:jc w:val="left"/>
            </w:pPr>
            <w:r>
              <w:rPr>
                <w:rFonts w:ascii="Times New Roman" w:hAnsi="Times New Roman" w:cs="Times New Roman" w:eastAsia="Times New Roman"/>
                <w:b w:val="false"/>
                <w:sz w:val="26"/>
              </w:rPr>
              <w:t>Lệnh 08/2001/L-CTN</w:t>
            </w:r>
          </w:p>
        </w:tc>
        <w:tc>
          <w:p/>
          <w:p>
            <w:pPr>
              <w:spacing w:after="0" w:before="0" w:lineRule="auto" w:line="276"/>
              <w:jc w:val="left"/>
            </w:pPr>
            <w:r>
              <w:rPr>
                <w:rFonts w:ascii="Times New Roman" w:hAnsi="Times New Roman" w:cs="Times New Roman" w:eastAsia="Times New Roman"/>
                <w:b w:val="false"/>
                <w:sz w:val="26"/>
              </w:rPr>
              <w:t>12-07-2001</w:t>
            </w:r>
          </w:p>
        </w:tc>
        <w:tc>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w:t>
            </w:r>
          </w:p>
        </w:tc>
        <w:tc>
          <w:p/>
          <w:p>
            <w:pPr>
              <w:spacing w:after="0" w:before="0" w:lineRule="auto" w:line="276"/>
              <w:jc w:val="left"/>
            </w:pPr>
            <w:r>
              <w:rPr>
                <w:rFonts w:ascii="Times New Roman" w:hAnsi="Times New Roman" w:cs="Times New Roman" w:eastAsia="Times New Roman"/>
                <w:b w:val="false"/>
                <w:sz w:val="26"/>
              </w:rPr>
              <w:t>22-11-2013</w:t>
            </w:r>
          </w:p>
        </w:tc>
        <w:tc>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149 /2020/TT-BCA</w:t>
            </w:r>
          </w:p>
        </w:tc>
        <w:tc>
          <w:p/>
          <w:p>
            <w:pPr>
              <w:spacing w:after="0" w:before="0" w:lineRule="auto" w:line="276"/>
              <w:jc w:val="left"/>
            </w:pPr>
            <w:r>
              <w:rPr>
                <w:rFonts w:ascii="Times New Roman" w:hAnsi="Times New Roman" w:cs="Times New Roman" w:eastAsia="Times New Roman"/>
                <w:b w:val="false"/>
                <w:sz w:val="26"/>
              </w:rPr>
              <w:t>Thông tư 149 /2020/TT-BCA</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giao thông cơ giới phải bảo đảm các điều kiện an toàn về phòng cháy, chữa cháy khi vận chuyển hàng hóa nguy hiểm về cháy, nổ theo quy định tại khoản 3 Điều 8 Nghị định số 136/2020/NĐ-CP; người điều khiển phương tiện, người làm việc trên phương tiện phải bảo đảm điều kiện quy định tại khoản 4 Điều 8 Nghị định số 136/2020/NĐ-CP.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phép vận chuyển hàng hóa nguy hiểm về cháy, nổ thuộc loại 1, loại 2, loại 3, loại 4 và loại 9 bằng phương tiện giao thông cơ giới đường bộ, trên đường thủy nội địa (trừ vật liệu nổ công nghiệp) (thực hiện tại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2026-05-21T16:32:11Z</dcterms:created>
  <dc:creator>Apache POI</dc:creator>
</cp:coreProperties>
</file>