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1.009976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di dời đối với công trình cấp đặc biệt, cấp I và cấp II (Công trình không theo tuyến/Theo tuyến trong đô thị/Tín ngưỡng, tôn giáo/Tượng đài, tranh hoành tráng/Theo giai đoạn cho công trình không theo tuyến/Theo giai đoạn cho công trình theo tuyến trong đô thị/Dự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cho Trung tâm phục vụ hành chính công hoặc Bộ phận tiếp nhận và trả kết quả giải quyết thủ tục hành chính của Sở Xây dựng hoặc ban quản lý khu công nghiệp, khu chế xuất, khu công nghệ cao, khu kinh tế theo phân cấp, ủy quyền của Ủy ban nhân dân cấp tỉnh.</w:t>
      </w:r>
    </w:p>
    <w:p>
      <w:pPr>
        <w:spacing w:after="0" w:before="0" w:lineRule="auto" w:line="276"/>
        <w:jc w:val="both"/>
      </w:pPr>
      <w:r>
        <w:rPr>
          <w:rFonts w:ascii="Times New Roman" w:hAnsi="Times New Roman" w:cs="Times New Roman" w:eastAsia="Times New Roman"/>
          <w:b w:val="false"/>
          <w:sz w:val="26"/>
        </w:rPr>
        <w:t>- Trong thời hạn 07 ngày làm việc kể từ ngày tiếp nhận hồ sơ, cơ quan có thẩm quyền cấp giấy phép xây dựng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Điều 41 Nghị định số 15/2021/NĐ-CP. Việc kiểm tra được thực hiện như sau:</w:t>
      </w:r>
    </w:p>
    <w:p>
      <w:pPr>
        <w:spacing w:after="0" w:before="0" w:lineRule="auto" w:line="276"/>
        <w:jc w:val="both"/>
      </w:pPr>
      <w:r>
        <w:rPr>
          <w:rFonts w:ascii="Times New Roman" w:hAnsi="Times New Roman" w:cs="Times New Roman" w:eastAsia="Times New Roman"/>
          <w:b w:val="false"/>
          <w:sz w:val="26"/>
        </w:rPr>
        <w:t>+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w:t>
      </w:r>
    </w:p>
    <w:p>
      <w:pPr>
        <w:spacing w:after="0" w:before="0" w:lineRule="auto" w:line="276"/>
        <w:jc w:val="both"/>
      </w:pPr>
      <w:r>
        <w:rPr>
          <w:rFonts w:ascii="Times New Roman" w:hAnsi="Times New Roman" w:cs="Times New Roman" w:eastAsia="Times New Roman"/>
          <w:b w:val="false"/>
          <w:sz w:val="26"/>
        </w:rPr>
        <w:t>+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w:t>
      </w:r>
    </w:p>
    <w:p>
      <w:pPr>
        <w:spacing w:after="0" w:before="0" w:lineRule="auto" w:line="276"/>
        <w:jc w:val="both"/>
      </w:pPr>
      <w:r>
        <w:rPr>
          <w:rFonts w:ascii="Times New Roman" w:hAnsi="Times New Roman" w:cs="Times New Roman" w:eastAsia="Times New Roman"/>
          <w:b w:val="false"/>
          <w:sz w:val="26"/>
        </w:rPr>
        <w:t>+ Kiểm tra tính đầy đủ, hợp lệ của báo cáo kết quả thẩm tra đối với công trình có yêu cầu phải thẩm tra thiết kế theo quy định tại Nghị định số 15/2021/NĐ-CP.</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w:t>
      </w:r>
    </w:p>
    <w:p>
      <w:pPr>
        <w:spacing w:after="0" w:before="0" w:lineRule="auto" w:line="276"/>
        <w:jc w:val="both"/>
      </w:pPr>
      <w:r>
        <w:rPr>
          <w:rFonts w:ascii="Times New Roman" w:hAnsi="Times New Roman" w:cs="Times New Roman" w:eastAsia="Times New Roman"/>
          <w:b w:val="false"/>
          <w:sz w:val="26"/>
        </w:rPr>
        <w:t>- Trong thời hạn 20 ngày kể từ ngày nhận đủ hồ sơ hợp lệ, cơ quan có thẩm quyền có trách nhiệm xem xét cấp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20 ngày đối với công trình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di dời công trình theo Mẫu số 1 Phụ lục số II Nghị định số 15/2021/NĐ-CP ngày 03/3/2021 của Chính phủ.</w:t>
            </w:r>
          </w:p>
        </w:tc>
        <w:tc>
          <w:p/>
          <w:p>
            <w:pPr>
              <w:spacing w:after="0" w:before="0" w:lineRule="auto" w:line="276"/>
              <w:jc w:val="left"/>
            </w:pPr>
            <w:r>
              <w:rPr>
                <w:rFonts w:ascii="Times New Roman" w:hAnsi="Times New Roman" w:cs="Times New Roman" w:eastAsia="Times New Roman"/>
                <w:b w:val="false"/>
                <w:sz w:val="26"/>
              </w:rPr>
              <w:t>Don de nghi  cap GPXD di doi CTXD.docx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Bản sao giấy tờ chứng minh quyền sử dụng đất nơi công trình sẽ di dời đến và giấy tờ hợp pháp về sở hữu công trình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Bản vẽ hoàn công công trình (nếu có) hoặc bản vẽ thiết kế mô tả thực trạng công trình được di dời, gồm mặt bằng, mặt cắt móng và bản vẽ kết cấu chịu lực chính; bản vẽ tổng mặt bằng địa điểm công trình sẽ được di dời tới; bản vẽ mặt bằng, mặt cắt móng tại địa điểm công trình sẽ di dời đến.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Báo cáo kết quả khảo sát đánh giá chất lượng hiện trạng của công trình do tổ chức, cá nhân có đủ điều kiện năng lực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án di dời do tổ chức, cá nhân có đủ điều kiện năng lực thực hiện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Phần thuyết minh về hiện trạng công trình và khu vực công trình sẽ được di dời đến; giải pháp di dời, phương án bố trí sử dụng phương tiện, thiết bị, nhân lực; giải pháp bảo đảm an toàn cho công trình, người, máy móc, thiết bị và công trình lân cận; bảo đảm vệ sinh môi trường; tiến độ di dời; tổ chức, cá nhân thực hiện di dời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Phần bản vẽ biện pháp thi công di dời công trình.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Ban Quản lý Khu chế xuất- Khu công nghiệp, Ban Quản lý Khu công nghệ cao, Văn phòng Ban chỉ đạo liên ngành hội nhập quốc tế về kinh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Ban Quản lý Khu chế xuất- Khu công nghiệp, Văn phòng Ban chỉ đạo liên ngành hội nhập quốc tế về kinh tế, Ban Quản lý Khu công nghệ cao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TTHC thuộc Sở Xây dựng, GTVT, NN và PTNT, Công thương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GPXD có đóng dấu của 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50/2014/QH13 </w:t>
            </w:r>
          </w:p>
        </w:tc>
        <w:tc>
          <w:p/>
          <w:p>
            <w:pPr>
              <w:spacing w:after="0" w:before="0" w:lineRule="auto" w:line="276"/>
              <w:jc w:val="left"/>
            </w:pPr>
            <w:r>
              <w:rPr>
                <w:rFonts w:ascii="Times New Roman" w:hAnsi="Times New Roman" w:cs="Times New Roman" w:eastAsia="Times New Roman"/>
                <w:b w:val="false"/>
                <w:sz w:val="26"/>
              </w:rPr>
              <w:t>Luật</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15/2021/NĐ-CP</w:t>
            </w:r>
          </w:p>
        </w:tc>
        <w:tc>
          <w:p/>
          <w:p>
            <w:pPr>
              <w:spacing w:after="0" w:before="0" w:lineRule="auto" w:line="276"/>
              <w:jc w:val="left"/>
            </w:pPr>
            <w:r>
              <w:rPr>
                <w:rFonts w:ascii="Times New Roman" w:hAnsi="Times New Roman" w:cs="Times New Roman" w:eastAsia="Times New Roman"/>
                <w:b w:val="false"/>
                <w:sz w:val="26"/>
              </w:rPr>
              <w:t>Quản lý dự án đầu tư xây dựng</w:t>
            </w:r>
          </w:p>
        </w:tc>
        <w:tc>
          <w:p/>
          <w:p>
            <w:pPr>
              <w:spacing w:after="0" w:before="0" w:lineRule="auto" w:line="276"/>
              <w:jc w:val="left"/>
            </w:pPr>
            <w:r>
              <w:rPr>
                <w:rFonts w:ascii="Times New Roman" w:hAnsi="Times New Roman" w:cs="Times New Roman" w:eastAsia="Times New Roman"/>
                <w:b w:val="false"/>
                <w:sz w:val="26"/>
              </w:rPr>
              <w:t>03-03-2021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Nghị định số 35/2023/NĐ-CP ngày 20/6/2023 của Chính phủ 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2026-05-21T05:20:47Z</dcterms:created>
  <dc:creator>Apache POI</dc:creator>
</cp:coreProperties>
</file>