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1.009980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1105/QĐ-BXD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xây dựng cho nhà thầu nước ngoài thuộc dự án nhóm B, nhóm 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Nhà thầu nước ngoài nộp trực tiếp, qua dịch vụ bưu chính hoặc trực tuyến (nếu có) 01 bộ hồ sơ đề nghị cấp giấy phép hoạt động xây dựng cho Trung tâm phục vụ hành chính công tỉnh hoặc Bộ phận tiếp nhận và trả kết quả giải quyết TTHC của cơ quan chuyên môn về xây dựng cấp tỉnh.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(20 ngày kể từ ngày nhận đủ hồ sơ hợp lệ)</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hoạt động xây dựng theo Mẫu số 1 (đối với tổ chức) hoặc Mẫu số 4 (đối với cá nhân) Phụ lục số III Nghị định số 15/2021/NĐ-CP ngày 03/3/2021 của Chính phủ.</w:t>
            </w:r>
          </w:p>
        </w:tc>
        <w:tc>
          <w:p/>
          <w:p>
            <w:pPr>
              <w:spacing w:after="0" w:before="0" w:lineRule="auto" w:line="276"/>
              <w:jc w:val="left"/>
            </w:pPr>
            <w:r>
              <w:rPr>
                <w:rFonts w:ascii="Times New Roman" w:hAnsi="Times New Roman" w:cs="Times New Roman" w:eastAsia="Times New Roman"/>
                <w:b w:val="false"/>
                <w:sz w:val="26"/>
              </w:rPr>
              <w:t>Don de nghi cap GPHDXD (doi voi to chuc).docx</w:t>
            </w:r>
          </w:p>
          <w:p>
            <w:pPr>
              <w:spacing w:after="0" w:before="0" w:lineRule="auto" w:line="276"/>
              <w:jc w:val="left"/>
            </w:pPr>
            <w:r>
              <w:rPr>
                <w:rFonts w:ascii="Times New Roman" w:hAnsi="Times New Roman" w:cs="Times New Roman" w:eastAsia="Times New Roman"/>
                <w:b w:val="false"/>
                <w:sz w:val="26"/>
              </w:rPr>
              <w:t>Don de nghi cap GPHDXD (doi voi ca nhan).docx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điện tử về kết quả đấu thầu hoặc quyết định chọn thầu hợp pháp (nếu bằng tiếng nước ngoài phải được dịch ra tiếng Việt và được công chứng, chứng thực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điện tử giấy phép thành lập hoặc Giấy chứng nhận đăng ký kinh doanh đối với tổ chức và chứng chỉ hành nghề (nếu có) của nước nơi mà nhà thầu nước ngoài mang quốc tịch cấp và phải được hợp pháp hóa lãnh sự, trừ trường hợp Điều ước quốc tế mà Việt Nam và các nước có liên quan là thành viên có quy định về miễn trừ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Biểu báo cáo kinh nghiệm hoạt động liên quan đến các công việc nhận thầu và bản sao có chứng thực hoặc bản sao điện tử báo cáo tổng hợp kiểm toán tài chính trong 03 năm gần nhất (đối với trường hợp không thực hiện theo quy định của pháp luật về đấu thầu).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điện tử Hợp đồng liên danh với nhà thầu Việt Nam hoặc hợp đồng chính thức hoặc hợp đồng nguyên tắc với nhà thầu phụ Việt Nam để thực hiện công việc nhận thầu (đã có trong hồ sơ dự thầu hoặc hồ sơ chào thầu) (nếu bằng tiếng nước ngoài phải được dịch ra tiếng Việt và được công chứng, chứng thực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ủy quyền hợp pháp đối với người không phải là người đại diện theo pháp luật của nhà thầu (nếu bằng tiếng nước ngoài phải được dịch ra tiếng Việt và được công chứng, chứng thực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điện tử quyết định phê duyệt dự án hoặc quyết định đầu tư hoặc giấy chứng nhận đầu tư của dự án/công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hoặc Bộ phận tiếp nhận và trả kết quả giải quyết TTHC của cơ quan chuyên môn về xây dựng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Giấy phép HĐXD cho nhà thầu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50/2014/QH13 </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15/2021/NĐ-CP</w:t>
            </w:r>
          </w:p>
        </w:tc>
        <w:tc>
          <w:p/>
          <w:p>
            <w:pPr>
              <w:spacing w:after="0" w:before="0" w:lineRule="auto" w:line="276"/>
              <w:jc w:val="left"/>
            </w:pPr>
            <w:r>
              <w:rPr>
                <w:rFonts w:ascii="Times New Roman" w:hAnsi="Times New Roman" w:cs="Times New Roman" w:eastAsia="Times New Roman"/>
                <w:b w:val="false"/>
                <w:sz w:val="26"/>
              </w:rPr>
              <w:t>Quản lý dự án đầu tư xây dựng</w:t>
            </w:r>
          </w:p>
        </w:tc>
        <w:tc>
          <w:p/>
          <w:p>
            <w:pPr>
              <w:spacing w:after="0" w:before="0" w:lineRule="auto" w:line="276"/>
              <w:jc w:val="left"/>
            </w:pPr>
            <w:r>
              <w:rPr>
                <w:rFonts w:ascii="Times New Roman" w:hAnsi="Times New Roman" w:cs="Times New Roman" w:eastAsia="Times New Roman"/>
                <w:b w:val="false"/>
                <w:sz w:val="26"/>
              </w:rPr>
              <w:t>03-03-2021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Nhà thầu nước ngoài được cấp giấy phép hoạt động xây dựng khi có quyết định trúng thầu hoặc được chọn thầu của chủ đầu tư/nhà thầu chính (phụ).
- Nhà thầu nước ngoài phải liên danh với nhà thầu Việt Nam hoặc sử dụng nhà thầu phụ Việt Nam, trừ trường hợp nhà thầu trong nước không đủ năng lực tham gia vào bất kỳ công việc nào của gói thầu. Khi liên danh hoặc sử dụng nhà thầu Việt Nam phải phân định rõ nội dung, khối lượng và giá trị phần công việc do nhà thầu Việt Nam trong liên danh; nhà thầu phụ Việt Nam thực hiện.
- Nhà thầu nước ngoài phải cam kết thực hiện đầy đủ các quy định của pháp luật Việt Nam có liên quan đến hoạt động nhận thầu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2026-05-27T21:24:03Z</dcterms:created>
  <dc:creator>Apache POI</dc:creator>
</cp:coreProperties>
</file>