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1105/QĐ-BXD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Báo cáo nghiên cứu khả thi đầu tư xây dựng/điều chỉnh Báo cáo nghiên cứu khả thi đầu tư xây dựng (Trường hợp được Ủy ban nhân dân cấp tỉnh phân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thẩm định nộp 01 bộ hồ sơ đề nghị thẩm định Báo cáo nghiên cứu khả thi đầu tư xây dựng/điều chỉnh Báo cáo nghiên cứu khả thi đầu tư xây dựng cho Bộ phận tiếp nhận và trả kết quả giải quyết TTHC thuộc Ủy ban nhân dân cấp huyện.</w:t>
      </w:r>
    </w:p>
    <w:p>
      <w:pPr>
        <w:spacing w:after="0" w:before="0" w:lineRule="auto" w:line="276"/>
        <w:jc w:val="both"/>
      </w:pPr>
      <w:r>
        <w:rPr>
          <w:rFonts w:ascii="Times New Roman" w:hAnsi="Times New Roman" w:cs="Times New Roman" w:eastAsia="Times New Roman"/>
          <w:b w:val="false"/>
          <w:sz w:val="26"/>
        </w:rPr>
        <w:t>- Trong thời hạn 05 ngày làm việc sau khi tiếp nhận hồ sơ, cơ quan chuyên môn về xây dựng có trách nhiệm:
+ Gửi văn bản yêu cầu bổ sung hồ sơ;
+ Trả lại hồ sơ thẩm định trong trường hợp: Trình thẩm định không đúng với thẩm quyền của cơ quan chuyên môn về xây dựng hoặc người đề nghị thẩm định không đúng thẩm quyền theo quy định tại Nghị định số 15/2021/NĐ-CP ngày 03/3/2021 của Chính phủ; Không thuộc đối tượng phải thẩm định tại cơ quan chuyên môn về xây dựng theo quy định; Hồ sơ trình thẩm định không bảo đảm về tính pháp lý hoặc không hợp lệ theo quy định tại Nghị định này;
+ Gửi văn bản đến các cơ quan có thẩm quyền về phòng cháy chữa cháy để thực hiện lấy ý kiến về giải pháp phòng cháy, chữa cháy của thiết kế cơ sở trong trường hợp chủ đầu tư có yêu cầu.</w:t>
      </w:r>
    </w:p>
    <w:p>
      <w:pPr>
        <w:spacing w:after="0" w:before="0" w:lineRule="auto" w:line="276"/>
        <w:jc w:val="both"/>
      </w:pPr>
      <w:r>
        <w:rPr>
          <w:rFonts w:ascii="Times New Roman" w:hAnsi="Times New Roman" w:cs="Times New Roman" w:eastAsia="Times New Roman"/>
          <w:b w:val="false"/>
          <w:sz w:val="26"/>
        </w:rPr>
        <w:t>- Trong thời hạn 20 ngày kể từ ngày nhận được yêu cầu của cơ quan chuyên môn về xây dựng, nếu người đề nghị thẩm định không thực hiện việc bổ sung hồ sơ thì cơ quan chuyên môn về xây dựng dừng việc thẩm định, người đề nghị thẩm định trình thẩm định lại khi có yêu cầu.
-</w:t>
      </w:r>
    </w:p>
    <w:p>
      <w:pPr>
        <w:spacing w:after="0" w:before="0" w:lineRule="auto" w:line="276"/>
        <w:jc w:val="both"/>
      </w:pPr>
      <w:r>
        <w:rPr>
          <w:rFonts w:ascii="Times New Roman" w:hAnsi="Times New Roman" w:cs="Times New Roman" w:eastAsia="Times New Roman"/>
          <w:b w:val="false"/>
          <w:sz w:val="26"/>
        </w:rPr>
        <w:t>Trong quá trình thẩm định, cơ quan chuyên môn về xây dựng có quyền tạm dừng thẩm định (không quá 01 lần) và thông báo kịp thời đến người đề nghị thẩm định các lỗi, sai sót về thông tin, số liệu trong nội dung hồ sơ dẫn đến không thể đưa ra kết luận thẩm định. Trường hợp các lỗi, sai sót nêu trên không thể khắc phục được trong thời hạn 20 ngày thì cơ quan chuyên môn về xây dựng dừng việc thẩm định, người đề nghị thẩm định trình thẩm định lại khi có yêu cầu</w:t>
      </w:r>
    </w:p>
    <w:p>
      <w:pPr>
        <w:spacing w:after="0" w:before="0" w:lineRule="auto" w:line="276"/>
        <w:jc w:val="both"/>
      </w:pPr>
      <w:r>
        <w:rPr>
          <w:rFonts w:ascii="Times New Roman" w:hAnsi="Times New Roman" w:cs="Times New Roman" w:eastAsia="Times New Roman"/>
          <w:b w:val="false"/>
          <w:sz w:val="26"/>
        </w:rPr>
        <w:t>- Trong thời gian không quá 35 ngày đối với dự án nhóm A, không quá 25 ngày đối với dự án nhóm B, không quá 15 ngày đối với dự án nhóm C kể từ ngày nhận đủ hồ sơ hợp lệ cơ quan chuyên môn về xây dựng ra thông báo kết quả thẩm định kèm theo hồ sơ bản vẽ được đóng dấu.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Dự án nhóm A không quá 35 ngày, dự án nhóm B không quá 25 ngày, dự án nhóm C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Dự án nhóm A không quá 35 ngày, dự án nhóm B không quá 25 ngày, dự án nhóm C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Dự án nhóm A không quá 35 ngày, dự án nhóm B không quá 25 ngày, dự án nhóm C không quá 15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Báo cáo nghiên cứu khả thi đầu tư xây dựng/điều chỉnh Báo cáo nghiên cứu khả thi đầu tư xây dựng theo Mẫu số 1 Phụ lục I Nghị định số 15/2021/NĐ-CP ngày 03/3/2021 của Chính phủ</w:t>
            </w:r>
          </w:p>
        </w:tc>
        <w:tc>
          <w:p/>
          <w:p>
            <w:pPr>
              <w:spacing w:after="0" w:before="0" w:lineRule="auto" w:line="276"/>
              <w:jc w:val="left"/>
            </w:pPr>
            <w:r>
              <w:rPr>
                <w:rFonts w:ascii="Times New Roman" w:hAnsi="Times New Roman" w:cs="Times New Roman" w:eastAsia="Times New Roman"/>
                <w:b w:val="false"/>
                <w:sz w:val="26"/>
              </w:rPr>
              <w:t>To trinh tham dinh, dieu chinh bao cao nghien cuu kha thi dau tu xay 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chủ trương đầu tư xây dựng công trình theo quy định pháp luật về đầu tư, đầu tư công, đầu tư theo phương thức đối tác công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lựa chọn phương án thiết kế kiến trúc thông qua thi tuyển theo quy định và phương án thiết kế được lựa chọn kèm theo (nếu có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bản/quyết định phê duyệt và bản vẽ kèm theo (nếu có) của một trong các loại quy hoạch sau đây: Quy hoạch chi tiết xây dựng được cấp có thẩm quyền phê duyệt; quy hoạch có tính chất kỹ thuật chuyên ngành khác theo quy định của pháp luật về quy hoạch; phương án tuyến công trình, vị trí công trình được cơ quan nhà nước có thẩm quyền chấp thuận; quy hoạch phân khu xây dựng đối với trường hợp không có yêu cầu lập quy hoạch chi tiết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ý kiến về giải pháp phòng cháy, chữa cháy của thiết kế cơ sở; kết quả thực hiện thủ tục về đánh giá tác động môi trường theo quy định của pháp luật về bảo vệ môi trường gửi cơ quan chuyên môn về xây dựng trước thời hạn thông báo kết quả thẩm định. Trường hợp chủ đầu tư có yêu cầu thực hiện thủ tục lấy ý kiến về giải pháp phòng cháy, chữa cháy của thiết kế cơ sở theo cơ chế một cửa liên thông thì chủ đầu tư nộp bổ sung 01 bộ hồ sơ theo quy định của pháp luật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thỏa thuận, xác nhận về đấu nối hạ tầng kỹ thuật của dự án; văn bản chấp thuận độ cao công trình theo quy định của Chính phủ về quản lý độ cao chướng ngại vật hàng không và các trận địa quản lý, bảo vệ vùng trời tại Việt Nam (trường hợp dự án không thuộc khu vực hoặc đối tượng có yêu cầu lấy ý kiến thống nhất về bề mặt quản lý độ cao công trình tại giai đoạn phê duyệt quy hoạch xây dựng)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pháp lý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khảo sát xây dựng được phê duyệt; thuyết minh Báo cáo nghiên cứu khả thi đầu tư xây dựng; thiết kế cơ sở hoặc thiết kế khác theo thông lệ quốc tế phục vụ lập báo cáo nghiên cứu khả thi đầu tư xây dựng (gồm bản vẽ và thuyết minh); danh mục tiêu chuẩn chủ yếu áp dụng cho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các nhà thầu kèm theo mã số chứng chỉ năng lực của nhà thầu khảo sát, nhà thầu lập thiết kế cơ sở, nhà thầu thẩm tra (nếu có); mã số chứng chỉ hành nghề hoạt động xây dựng của các chức danh chủ nhiệm khảo sát xây dựng; chủ nhiệm, chủ trì các bộ môn thiết kế, lập tổng mức đầu tư; chủ nhiệm, chủ trì thẩm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dự án sử dụng vốn đầu tư công, vốn nhà nước ngoài đầu tư công có yêu cầu xem xét tổng mức đầu tư, hồ sơ trình thẩm định còn phải có các nội dung sau: tổng mức đầu tư; các thông tin, số liệu về giá, định mức có liên quan; báo giá, kết quả thẩm định giá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TTHC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thẩm định Báo cáo nghiên cứu khả thi đầu tư xây dựng/điều chỉnh Báo cáo nghiên cứu khả thi đầu tư kèm theo hồ sơ thiết kế trình thẩm định có đóng dấu thẩm định của cơ quan chuyên môn về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trình thẩm định phải bảo đảm tính pháp lý, phù hợp với nội dung đề nghị thẩm định. Hồ sơ trình thẩm định được xem là hợp lệ khi bảo đảm các nội dung quy định tại khoản 3 Điều 14 Nghị định số 15/2021/NĐ-CP ngày 03/3/2021 của Chính phủ, đúng quy cách, được trình bày với ngôn ngữ chính là tiếng Việt và được người đề nghị thẩm định kiểm tra, xác nhận. Phần hồ sơ thiết kế kiến trúc trong hồ sơ thiết kế xây dựng (nếu có) phải tuân thủ quy định của pháp luật về kiến trúc.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2026-05-25T18:12:52Z</dcterms:created>
  <dc:creator>Apache POI</dc:creator>
</cp:coreProperties>
</file>