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sửa chữa, cải tạo công trình cho 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 và địa phương)</w:t>
            </w:r>
          </w:p>
        </w:tc>
        <w:tc>
          <w:p/>
          <w:p>
            <w:pPr>
              <w:spacing w:after="0" w:before="0" w:lineRule="auto" w:line="276"/>
              <w:jc w:val="left"/>
            </w:pPr>
            <w:r>
              <w:rPr>
                <w:rFonts w:ascii="Times New Roman" w:hAnsi="Times New Roman" w:cs="Times New Roman" w:eastAsia="Times New Roman"/>
                <w:b w:val="false"/>
                <w:sz w:val="26"/>
              </w:rPr>
              <w:t>- 20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 và địa phương)</w:t>
            </w:r>
          </w:p>
        </w:tc>
        <w:tc>
          <w:p/>
          <w:p>
            <w:pPr>
              <w:spacing w:after="0" w:before="0" w:lineRule="auto" w:line="276"/>
              <w:jc w:val="left"/>
            </w:pPr>
            <w:r>
              <w:rPr>
                <w:rFonts w:ascii="Times New Roman" w:hAnsi="Times New Roman" w:cs="Times New Roman" w:eastAsia="Times New Roman"/>
                <w:b w:val="false"/>
                <w:sz w:val="26"/>
              </w:rPr>
              <w:t>- 20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 và địa phương)</w:t>
            </w:r>
          </w:p>
        </w:tc>
        <w:tc>
          <w:p/>
          <w:p>
            <w:pPr>
              <w:spacing w:after="0" w:before="0" w:lineRule="auto" w:line="276"/>
              <w:jc w:val="left"/>
            </w:pPr>
            <w:r>
              <w:rPr>
                <w:rFonts w:ascii="Times New Roman" w:hAnsi="Times New Roman" w:cs="Times New Roman" w:eastAsia="Times New Roman"/>
                <w:b w:val="false"/>
                <w:sz w:val="26"/>
              </w:rPr>
              <w:t>- 20 ngày đối với công trình và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tại Phụ lục số 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cap GPXD sua chua cai tao CTXD.docx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về quyền sở hữu, quản lý, sử dụng công trình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Thành phần hồ sơ khác cho từng loại công trình, cụ thể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(1.2) Đối với công trình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(1.3) Đối với công trình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(1.4) Đối với công trình tín ngưỡng: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Giấy chứng nhận thẩm duyệt thiết kế về phòng cháy, chữa cháy kèm theo bản vẽ thẩm duyệt trong trường hợp pháp luật về phòng cháy và chữa cháy có yêu cầu; báo cáo kết quả thẩm tra thiết kế xây dựng trong trường hợp pháp luật về xây dựng có yêu cầu,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và mặt cắt móng kèm theo sơ đồ đấu nối hệ thống hạ tầng kỹ thuật bên ngoài công trình gồm cấp nước, thoát nước, cấp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chuyên môn về tín ngưỡng thuộc Ủy ban nhân dân cấp tỉnh; báo cáo kết quả thẩm tra thiết kế xây dựng đối với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tín ngưỡng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(1.5) Đối với công trình tượng đài, tranh hoành tráng: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(1.6) Đối với công trình của các cơ quan ngoại giao và tổ chức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(1.7) Đối với công trình nhà ở riêng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Giấy chứng nhận thẩm duyệt thiết kế về phòng cháy, chữa cháy kèm theo bản vẽ thẩm duyệt trong trường hợp pháp luật về phòng cháy và chữa cháy có yêu cầu; báo cáo kết quả thẩm tra thiết kế xây dựng trong trường hợp pháp luật về xây dựng có yêu cầu,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và mặt cắt móng kèm theo sơ đồ đấu nối hệ thống hạ tầng kỹ thuật bên ngoài công trình gồm cấp nước, thoát nước, cấp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62/2020/QH14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2026-05-08T14:36:00Z</dcterms:created>
  <dc:creator>Apache POI</dc:creator>
</cp:coreProperties>
</file>