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phương tiện giao thông đường sắt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sắt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Chủ sở hữu phương tiện nộp 01 bộ hồ sơ làm thủ tục đề nghị cấp Giấy chứng nhận đăng ký phương tiện đến cơ quan cấp Giấy chứng nhận đăng ký phương tiện.
b) Giải quyết TTHC:
- Cơ quan cấp Giấy chứng nhận đăng ký phương tiện  tiếp nhận và kiểm tra hồ sơ.
+ Trường hợp nộp hồ sơ trực tiếp tại bộ phận một cửa hoặc cổng dịch vụ công trực tuyến, cơ quan cấp Giấy chứng nhận đăng ký phương tiện  tiếp nhận và kiểm tra hồ sơ. Trường hợp hồ sơ không đầy đủ theo quy định trong vòng 01 ngày làm việc kể từ ngày tiếp nhận hồ sơ, cơ quan cấp Giấy chứng nhận đăng ký phương tiện   có trách nhiệm thông báo, hướng dẫn chủ sở hữu bổ sung, hoàn thiện hồ sơ theo đúng quy định.
+ Trường hợp nhận được hồ sơ qua hệ thống bưu chính, cơ quan nhà nước có thẩm quyền tiếp nhận và kiểm tra hồ sơ. Trường hợp hồ sơ không đầy đủ theo quy định, trong vòng 02 ngày làm việc kể từ ngày tiếp nhận hồ sơ, cơ quan cấp Giấy chứng nhận đăng ký phương tiện   có trách nhiệm thông báo, hướng dẫn chủ sở hữu bổ sung, hoàn thiện hồ sơ theo đúng quy định.
- Trong thời hạn 03 ngày làm việc kể từ ngày tiếp nhận hồ sơ đầy đủ, đúng quy định, cơ quan cấp Giấy chứng nhận đăng ký phương tiện   có trách nhiệm cấp Giấy chứng nhận đăng ký phương tiện. Chủ sở hữu có trách nhiệm nộp lệ phí theo quy định. Trường hợp không cấp Giấy chứng nhận đăng ký phương tiện, trong thời hạn 03 ngày làm việc kể từ ngày tiếp nhận hồ sơ đầy đủ, đúng quy định, cơ quan cấp Giấy chứng nhận đăng ký phương tiện  thông báo bằng văn bản cho chủ sở hữu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120.000 đồng/01 lần cấp </w:t>
              <w:t xml:space="preserve"> (Giấy chứng nhận đăng ký phương tiện giao thông đường sắt)</w:t>
            </w:r>
          </w:p>
        </w:tc>
        <w:tc>
          <w:p/>
          <w:p>
            <w:pPr>
              <w:spacing w:after="0" w:before="0" w:lineRule="auto" w:line="276"/>
              <w:jc w:val="left"/>
            </w:pPr>
            <w:r>
              <w:rPr>
                <w:rFonts w:ascii="Times New Roman" w:hAnsi="Times New Roman" w:cs="Times New Roman" w:eastAsia="Times New Roman"/>
                <w:b w:val="false"/>
                <w:sz w:val="26"/>
              </w:rPr>
              <w:t>Trong thời hạn không quá 03 ngày làm việc, kể từ khi nhận được hồ sơ đầy đủ và đúng theo quy định và chủ sở hữu phương tiện đã hoàn thành nghĩa vụ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120.000 đồng/01 lần cấp </w:t>
              <w:t xml:space="preserve"> (Giấy chứng nhận đăng ký phương tiện giao thông đường sắt)</w:t>
            </w:r>
          </w:p>
        </w:tc>
        <w:tc>
          <w:p/>
          <w:p>
            <w:pPr>
              <w:spacing w:after="0" w:before="0" w:lineRule="auto" w:line="276"/>
              <w:jc w:val="left"/>
            </w:pPr>
            <w:r>
              <w:rPr>
                <w:rFonts w:ascii="Times New Roman" w:hAnsi="Times New Roman" w:cs="Times New Roman" w:eastAsia="Times New Roman"/>
                <w:b w:val="false"/>
                <w:sz w:val="26"/>
              </w:rPr>
              <w:t>Trong thời hạn không quá 03 ngày làm việc, kể từ khi nhận được hồ sơ đầy đủ và đúng theo quy định và chủ sở hữu phương tiện đã hoàn thành nghĩa vụ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120.000 đồng/01 lần cấp Đồng</w:t>
              <w:t xml:space="preserve"> (Giấy chứng nhận đăng ký phương tiện giao thông đường sắt)</w:t>
            </w:r>
          </w:p>
        </w:tc>
        <w:tc>
          <w:p/>
          <w:p>
            <w:pPr>
              <w:spacing w:after="0" w:before="0" w:lineRule="auto" w:line="276"/>
              <w:jc w:val="left"/>
            </w:pPr>
            <w:r>
              <w:rPr>
                <w:rFonts w:ascii="Times New Roman" w:hAnsi="Times New Roman" w:cs="Times New Roman" w:eastAsia="Times New Roman"/>
                <w:b w:val="false"/>
                <w:sz w:val="26"/>
              </w:rPr>
              <w:t>Trong thời hạn không quá 03 ngày làm việc, kể từ khi nhận được hồ sơ đầy đủ và đúng theo quy định và chủ sở hữu phương tiện đã hoàn thành nghĩa vụ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phương tiện không có hợp đồng mua bán, hóa đơn riêng (do việc mua bán các phương tiện chỉ là hợp phần của gói thầu và không thể tách rời)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bản điện tử đơn đề nghị cấp Giấy chứng nhận đăng ký phương tiện của chủ sở hữu theo mẫu. - Bản chính hoặc bản sao có chứng thực hoặc bản điện tử hoặc bản sao điện tử hợp đồng gói thầu hoặc hợp phần của gói thầu có thể hiện việc cung cấp phương tiện, biên bản bàn giao phương tiện cho chủ sở hữu.</w:t>
            </w:r>
          </w:p>
        </w:tc>
        <w:tc>
          <w:p/>
          <w:p>
            <w:pPr>
              <w:spacing w:after="0" w:before="0" w:lineRule="auto" w:line="276"/>
              <w:jc w:val="left"/>
            </w:pPr>
            <w:r>
              <w:rPr>
                <w:rFonts w:ascii="Times New Roman" w:hAnsi="Times New Roman" w:cs="Times New Roman" w:eastAsia="Times New Roman"/>
                <w:b w:val="false"/>
                <w:sz w:val="26"/>
              </w:rPr>
              <w:t>ncplnu.docx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trong cùng một hợp đồng mua bán, cho, tặng phương tiện, hóa đơn, tờ khai hải quan của hồ sơ có kê khai nhiều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bản điện tử đơn đề nghị cấp Giấy chứng nhận đăng ký phương tiện của chủ sở hữu theo mẫu. - Bản chính hoặc bản sao có chứng thực hoặc bản điện tử hoặc bản sao điện tử bảng kê khai cho từng phương tiện đề nghị được cấp Giấy chứng nhận đăng ký hoặc hồ sơ đối với từng phương tiện.</w:t>
            </w:r>
          </w:p>
        </w:tc>
        <w:tc>
          <w:p/>
          <w:p>
            <w:pPr>
              <w:spacing w:after="0" w:before="0" w:lineRule="auto" w:line="276"/>
              <w:jc w:val="left"/>
            </w:pPr>
            <w:r>
              <w:rPr>
                <w:rFonts w:ascii="Times New Roman" w:hAnsi="Times New Roman" w:cs="Times New Roman" w:eastAsia="Times New Roman"/>
                <w:b w:val="false"/>
                <w:sz w:val="26"/>
              </w:rPr>
              <w:t>ncplnu.docx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bản điện tử đơn đề nghị cấp Giấy chứng nhận đăng ký phương tiện của chủ sở hữu theo mẫu. - Bản chính hoặc bản sao có chứng thực hoặc bản điện tử hoặc bản sao điện tử các giấy tờ của phương tiện bao gồm: Hợp đồng mua bán, đóng mới, lắp ráp, cho, tặng; chứng từ đã nộp lệ phí trước bạ (nếu có); quyết định điều chuyển phương tiện; hóa đơn của tổ chức, cá nhân bán phương tiện (nếu phương tiện đã chuyển qua nhiều tổ chức, cá nhân thì khi làm thủ tục cấp Giấy chứng nhận đăng ký phương tiện chỉ cần hóa đơn của tổ chức, cá nhân bán cuối cùng); Đối với các giấy tờ bằng tiếng nước ngoài thì phải có bản dịch tiếng Việt đã được công chứng dịch thuật kèm theo. - Bản chính hoặc bản sao có chứng thực hoặc bản điện tử hoặc bản sao điện tử tờ khai hải quan dùng cho phương tiện nhập khẩu hoặc tờ khai hải quan đã được thông quan.</w:t>
            </w:r>
          </w:p>
        </w:tc>
        <w:tc>
          <w:p/>
          <w:p>
            <w:pPr>
              <w:spacing w:after="0" w:before="0" w:lineRule="auto" w:line="276"/>
              <w:jc w:val="left"/>
            </w:pPr>
            <w:r>
              <w:rPr>
                <w:rFonts w:ascii="Times New Roman" w:hAnsi="Times New Roman" w:cs="Times New Roman" w:eastAsia="Times New Roman"/>
                <w:b w:val="false"/>
                <w:sz w:val="26"/>
              </w:rPr>
              <w:t>ncplnu.docx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sắt Việt Nam,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Đường sắt Việt Nam,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Đường sắt Việt Nam đối với đề nghị cấp Giấy chứng nhận đăng ký phương tiện trên đường sắt quốc gia. - Ủy ban nhân dân cấp tỉnh (nơi có đường sắt chuyên dùng, đường sắt đô thị) đối với cấp Giấy chứng nhận đăng ký phương tiện trên đường sắt chuyên dùng, đường sắt đô thị.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giấy chứng nhận đăng ký phương tiện giao thông đường sắt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33/2025/TT-BXD</w:t>
            </w:r>
          </w:p>
        </w:tc>
        <w:tc>
          <w:p/>
          <w:p>
            <w:pPr>
              <w:spacing w:after="0" w:before="0" w:lineRule="auto" w:line="276"/>
              <w:jc w:val="left"/>
            </w:pPr>
            <w:r>
              <w:rPr>
                <w:rFonts w:ascii="Times New Roman" w:hAnsi="Times New Roman" w:cs="Times New Roman" w:eastAsia="Times New Roman"/>
                <w:b w:val="false"/>
                <w:sz w:val="26"/>
              </w:rPr>
              <w:t>Quy định về quản lý, khai thác vận tải đường sắt</w:t>
            </w:r>
          </w:p>
        </w:tc>
        <w:tc>
          <w:p/>
          <w:p>
            <w:pPr>
              <w:spacing w:after="0" w:before="0" w:lineRule="auto" w:line="276"/>
              <w:jc w:val="left"/>
            </w:pPr>
            <w:r>
              <w:rPr>
                <w:rFonts w:ascii="Times New Roman" w:hAnsi="Times New Roman" w:cs="Times New Roman" w:eastAsia="Times New Roman"/>
                <w:b w:val="false"/>
                <w:sz w:val="26"/>
              </w:rPr>
              <w:t>14-11-2025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2026-04-30T13:27:31Z</dcterms:created>
  <dc:creator>Apache POI</dc:creator>
</cp:coreProperties>
</file>