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kinh doanh tại Giấy phép đầu tư, Giấy chứng nhận đầu tư (đồng thời là Giấy chứng nhận đăng ký kinh doanh) (cơ quan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hoạt động theo Giấy phép đầu tư, Giấy chứng nhận đầu tư (đồng thời là Giấy chứng nhận đăng ký kinh doanh) hoặc giấy tờ có giá trị pháp lý tương đương nộp hồ sơ đăng ký, thông báo thay đổi nội dung đăng ký kinh doanh cho Cơ quan đăng ký kinh doanh.
</w:t>
      </w:r>
    </w:p>
    <w:p>
      <w:pPr>
        <w:spacing w:after="0" w:before="0" w:lineRule="auto" w:line="276"/>
        <w:jc w:val="both"/>
      </w:pPr>
      <w:r>
        <w:rPr>
          <w:rFonts w:ascii="Times New Roman" w:hAnsi="Times New Roman" w:cs="Times New Roman" w:eastAsia="Times New Roman"/>
          <w:b w:val="false"/>
          <w:sz w:val="26"/>
        </w:rPr>
        <w:t>- Bước 2: Cơ quan đăng ký kinh doanh cấp Giấy chứng nhận đăng ký doanh nghiệp thay thế nội dung đăng ký kinh doanh tại Giấy phép đầu tư, Giấy chứng nhận đầu tư (đồng thời là Giấy chứng nhận đăng ký kinh doanh) hoặc giấy tờ có giá trị pháp lý tương đương;</w:t>
      </w:r>
    </w:p>
    <w:p>
      <w:pPr>
        <w:spacing w:after="0" w:before="0" w:lineRule="auto" w:line="276"/>
        <w:jc w:val="both"/>
      </w:pPr>
      <w:r>
        <w:rPr>
          <w:rFonts w:ascii="Times New Roman" w:hAnsi="Times New Roman" w:cs="Times New Roman" w:eastAsia="Times New Roman"/>
          <w:b w:val="false"/>
          <w:sz w:val="26"/>
        </w:rPr>
        <w:t>+ Giấy chứng nhận đăng ký doanh nghiệp ghi nhận nội dung điều chỉnh và ghi lại các nội dung đăng ký doanh nghiệp khác không điều chỉnh, đang có hiệu lực theo Giấy phép đầu tư, Giấy chứng nhận đầu tư (đồng thời là Giấy chứng nhận đăng ký kinh doanh) hoặc giấy tờ có giá trị pháp lý tương đương;</w:t>
      </w:r>
    </w:p>
    <w:p>
      <w:pPr>
        <w:spacing w:after="0" w:before="0" w:lineRule="auto" w:line="276"/>
        <w:jc w:val="both"/>
      </w:pPr>
      <w:r>
        <w:rPr>
          <w:rFonts w:ascii="Times New Roman" w:hAnsi="Times New Roman" w:cs="Times New Roman" w:eastAsia="Times New Roman"/>
          <w:b w:val="false"/>
          <w:sz w:val="26"/>
        </w:rPr>
        <w:t>+ Nội dung đăng ký kinh doanh quy định tại Giấy phép đầu tư, Giấy chứng nhận đầu tư (đồng thời là Giấy chứng nhận đăng ký kinh doanh) hoặc giấy tờ có giá trị pháp lý tương đương hết hiệu lực kể từ ngày doanh nghiệp được cấp Giấy chứng nhận đăng ký doanh nghiệp; nội dung dự án đầu tư tại Giấy phép đầu tư, Giấy chứng nhận đầu tư (đồng thời là Giấy chứng nhận đăng ký kinh doanh) tiếp tục có hiệu lực;</w:t>
      </w:r>
    </w:p>
    <w:p>
      <w:pPr>
        <w:spacing w:after="0" w:before="0" w:lineRule="auto" w:line="276"/>
        <w:jc w:val="both"/>
      </w:pPr>
      <w:r>
        <w:rPr>
          <w:rFonts w:ascii="Times New Roman" w:hAnsi="Times New Roman" w:cs="Times New Roman" w:eastAsia="Times New Roman"/>
          <w:b w:val="false"/>
          <w:sz w:val="26"/>
        </w:rPr>
        <w:t>* Trường hợp điều chỉnh đồng thời nội dung đăng ký kinh doanh và nội dung dự án đầu tư, doanh nghiệp thực hiện thủ tục điều chỉnh nội dung đăng ký kinh doanh tại Cơ quan đăng ký kinh doanh để được cấp Giấy chứng nhận đăng ký doanh nghiệp theo quy định tại Khoản 1 Điều 63 Nghị định số 118/2015/NĐ-CP. Sau khi được cấp Giấy chứng nhận đăng ký doanh nghiệp, doanh nghiệp điều chỉnh nội dung dự án đầu tư tại Cơ quan đăng ký đầu tư để được cấp Giấy chứng nhận đăng ký đầu tư theo quy định tương ứng tại Điều 62 Nghị định số 118/2015/NĐ-CP.</w:t>
      </w:r>
    </w:p>
    <w:p>
      <w:pPr>
        <w:spacing w:after="0" w:before="0" w:lineRule="auto" w:line="276"/>
        <w:jc w:val="both"/>
      </w:pPr>
      <w:r>
        <w:rPr>
          <w:rFonts w:ascii="Times New Roman" w:hAnsi="Times New Roman" w:cs="Times New Roman" w:eastAsia="Times New Roman"/>
          <w:b w:val="false"/>
          <w:sz w:val="26"/>
        </w:rPr>
        <w:t>* Trường hợp điều chỉnh nội dung đăng ký hoạt động chi nhánh, văn phòng đại diện của doanh nghiệp hoạt động theo Giấy phép đầu tư, Giấy chứng nhận đầu tư (đồng thời là Giấy chứng nhận đăng ký kinh doanh) hoặc giấy tờ có giá trị pháp lý tương đương cấp trước ngày Luật Đầu tư có hiệu lực thi hành, doanh nghiệp thực hiện thủ tục điều chỉnh giấy chứng nhận hoạt động chi nhánh, văn phòng đại diện theo quy định tương ứng tại Khoản 1 và Khoản 2 Điều 63 Nghị định số 118/2015/NĐ-CP.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0 Đồng</w:t>
              <w:t xml:space="preserve"> (Theo quy định của pháp luật về doanh nghiệp.)</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tương ứng đối với từng loại nội dung đăng ký kinh doanh thay đổi. Theo quy định của pháp luật về doanh nghiệp.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 hoặc Giấy chứng nhận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doanh nghiệp có yêu cầu thay đổi nội dung đăng ký kinh doanh do nhà đầu tư nước ngoài góp vốn, mua cổ phần, phần vốn góp thuộc trường hợp quy định tại Điểm a và Điểm b Khoản 2 Điều 46 Nghị định 118/2015/NĐ-CP, nhà đầu tư thực hiện thủ tục đăng ký góp vốn, mua cổ phần, phần vốn góp theo quy định tại Điểm a và Điểm b Khoản 3 Điều 46 Nghị định số 118/2015/NĐ-CP trước khi doanh nghiệp thực hiện thủ tục cấp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Thay đổi, nội dung đăng ký kinh doanh, tại Giấy phép đầu tư, Giấy chứng nhận đầu tư (đồng thời là Giấy chứng nhận đăng ký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2026-05-23T16:42:27Z</dcterms:created>
  <dc:creator>Apache POI</dc:creator>
</cp:coreProperties>
</file>