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2736/QĐ-BTNMT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về bảo vệ môi trường trong nhập khẩu phế liệu làm nguyên liệu sản xuất cho tổ chức, cá nhân nhận ủy thác nhập khẩu cho tổ chức, cá nhân sử dụng phế liệu nhập khẩu làm nguyên liệu sản xuất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quy định tại Điều 55 Nghị định số 38/2015/NĐ-CP lập hồ sơ, gửi trên Cổng thông tin một cửa quốc gia. Quy trình triển khai, tiếp nhận, trao đổi, phản hồi thông tin trên Cổng thông tin một cửa quốc gia và hệ thống xử lý chuyên ngành của Bộ Tài nguyên và Môi trường; theo quy định thực hiện thủ tục hành chính thông qua Cơ chế một cửa quốc gia, Cơ chế một cửa ASEAN và kiểm tra chuyên ngành đối với hàng hóa xuất khẩu, nhập khẩu.
Trường hợp hệ thống xử lý chuyên ngành chưa đáp ứng yêu cầu theo quy định thực hiện thủ tục hành chính thông qua Cơ chế một cửa quốc gia, Cơ chế một cửa ASEAN thì tổ chức, cá nhân nộp hồ sơ trực tiếp hoặc qua dịch vụ bưu chính đến Bộ Tài nguyên và Môi trường. Hồ sơ sẽ trả lại cho tổ chức, cá nhân ngay sau khi xác định chưa đầy đủ theo quy định.</w:t>
      </w:r>
    </w:p>
    <w:p>
      <w:pPr>
        <w:spacing w:after="0" w:before="0" w:lineRule="auto" w:line="276"/>
        <w:jc w:val="both"/>
      </w:pPr>
      <w:r>
        <w:rPr>
          <w:rFonts w:ascii="Times New Roman" w:hAnsi="Times New Roman" w:cs="Times New Roman" w:eastAsia="Times New Roman"/>
          <w:b w:val="false"/>
          <w:sz w:val="26"/>
        </w:rPr>
        <w:t>Bước 2: Kiểm tra hồ sơ: Tổng cục Môi trường xem xét hồ sơ; trường hợp hồ sơ chưa đầy đủ, trong thời hạn năm (05) ngày làm việc có văn bản thông báo gửi tổ chức, cá nhân để hoàn thiện.</w:t>
      </w:r>
    </w:p>
    <w:p>
      <w:pPr>
        <w:spacing w:after="0" w:before="0" w:lineRule="auto" w:line="276"/>
        <w:jc w:val="both"/>
      </w:pPr>
      <w:r>
        <w:rPr>
          <w:rFonts w:ascii="Times New Roman" w:hAnsi="Times New Roman" w:cs="Times New Roman" w:eastAsia="Times New Roman"/>
          <w:b w:val="false"/>
          <w:sz w:val="26"/>
        </w:rPr>
        <w:t xml:space="preserve">Bước 3. Thẩm định thông báo kết quả thẩm định:
- Tổng cục Môi trường trình Bộ Tài nguyên và Môi trường thành lập đoàn kiểm tra và tiến hành kiểm tra điều kiện về bảo vệ môi trường trong nhập khẩu phế liệu của cơ sở nhận ủy thác nhập khẩu cho tổ chức, cá nhân sử dụng phế liệu nhập khẩu làm nguyên liệu sản xuất có kho bãi chứa phế liệu; trường hợp cần thiết, tiến hành lấy mẫu, phân tích, tham vấn các tổ chức, cá nhân có liên quan và quyết định việc cấp, từ chối cấp Giấy xác nhận.
Bộ Tài nguyên và Môi trường không tổ chức đoàn kiểm tra đối với trường hợp tổ chức, cá nhân nhận ủy thác nhập khẩu phế liệu làm nguyên liệu sản xuất không có kho, bãi lưu giữ phế liệu nhập khẩu.
- Trường hợp tổ chức, cá nhân đáp ứng đủ điều kiện về bảo vệ môi trường theo quy định, Bộ Tài nguyên và Môi trường xem xét, cấp Giấy xác nhận; trường hợp tổ chức, cá nhân chưa đáp ứng đủ điều kiện bảo vệ môi trường theo quy định, Bộ Tài nguyên và Môi trường thông báo bằng văn bản cho tổ chức, cá nhân hoàn thiện hồ sơ, điều kiện về bảo vệ môi trường theo yêu cầu.
Tổ chức, cá nhân thực hiện đúng các yêu cầu của văn bản thông báo và hoàn thiện, gửi lại hồ sơ đã hoàn thiện đến Bộ Tài nguyên và Môi trường xem xét; trường hợp cần thiết, Bộ Tài nguyên và Môi trường tổ chức kiểm tra lại các điều kiện về bảo vệ môi trường và xem xét, cấp Giấy xác nhận. Trường hợp không cấp Giấy xác nhận, Bộ Tài nguyên và Môi trường thông báo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kiểm tra, trả lời về tính đầy đủ và hợp lệ của hồ sơ: Năm (05) ngày làm việc kể từ ngày nhận hồ sơ.  Thời hạn thẩm định hồ sơ và có văn bản trả lời: Bốn mươi (40) ngày làm việc (không bao gồm thời gian hoàn thiện hồ sơ của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văn bản đề nghị theo mẫu quy định tại Phụ lục 2a ban hành kèm theo Thông tư số 41/2015/TT-BTNMT;</w:t>
            </w:r>
          </w:p>
        </w:tc>
        <w:tc>
          <w:p/>
          <w:p>
            <w:pPr>
              <w:spacing w:after="0" w:before="0" w:lineRule="auto" w:line="276"/>
              <w:jc w:val="left"/>
            </w:pPr>
            <w:r>
              <w:rPr>
                <w:rFonts w:ascii="Times New Roman" w:hAnsi="Times New Roman" w:cs="Times New Roman" w:eastAsia="Times New Roman"/>
                <w:b w:val="false"/>
                <w:sz w:val="26"/>
              </w:rPr>
              <w:t>Phụ lục 2a-vb de nghi NKPL.docx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Bảy (07) báo cáo các điều kiện về bảo vệ môi trường trong nhập khẩu phế liệu làm nguyên liệu sản xuất theo mẫu quy định tại Phụ lục 3a, 3c ban hành kèm theo Thông tư số 41/2015/TT-BTNMT;</w:t>
            </w:r>
          </w:p>
        </w:tc>
        <w:tc>
          <w:p/>
          <w:p>
            <w:pPr>
              <w:spacing w:after="0" w:before="0" w:lineRule="auto" w:line="276"/>
              <w:jc w:val="left"/>
            </w:pPr>
            <w:r>
              <w:rPr>
                <w:rFonts w:ascii="Times New Roman" w:hAnsi="Times New Roman" w:cs="Times New Roman" w:eastAsia="Times New Roman"/>
                <w:b w:val="false"/>
                <w:sz w:val="26"/>
              </w:rPr>
              <w:t>Phụ lục 3a, 3c bao cao DKNKPL.docx</w:t>
            </w:r>
          </w:p>
        </w:tc>
        <w:tc>
          <w:p/>
          <w:p>
            <w:pPr>
              <w:spacing w:after="0" w:before="0" w:lineRule="auto" w:line="276"/>
              <w:jc w:val="left"/>
            </w:pPr>
            <w:r>
              <w:rPr>
                <w:rFonts w:ascii="Times New Roman" w:hAnsi="Times New Roman" w:cs="Times New Roman" w:eastAsia="Times New Roman"/>
                <w:b w:val="false"/>
                <w:sz w:val="26"/>
              </w:rPr>
              <w:t xml:space="preserve">Bản chính: </w:t>
              <w:t>7</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hồ sơ sau đây trong trường hợp tổ chức, cá nhân nhận ủy thác nhập khẩu phế liệu có kho bãi lưu giữ phế liệu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hoặc Giấy chứng nhận đăng ký doanh nghiệp; Giấy chứng nhận đăng ký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(01) trong các văn bản sau: Quyết định phê duyệt Báo cáo đánh giá tác động môi trường và Quyết định phê duyệt Báo cáo đánh giá tác động môi trường bổ sung (nếu có); Giấy chứng nhận Bản đăng ký đạt tiêu chuẩn môi trường; Giấy xác nhận đăng ký Bản cam kết bảo vệ môi trường; Quyết định phê duyệt đề án bảo vệ môi trường; Giấy xác nhận đăng ký đề án bảo vệ môi trường; Quyết định phê duyệt đề án bảo vệ môi trường chi tiết; Giấy xác nhận đăng ký đề án bảo vệ môi trường đơn giản; Giấy xác nhận đăng ký kế hoạch bảo vệ môi trường; Văn bản thông báo về việc chấp nhận đăng ký bản cam kết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(01) trong các văn bản sau: Giấy xác nhận hoàn thành các công trình, biện pháp bảo vệ môi trường theo quy định của pháp luật về bảo vệ môi trường đối với các cơ sở, dự án; Giấy xác nhận hoàn thành việc thực hiện đề án bảo vệ môi trường chi tiết hoặc các hồ sơ, giấy tờ tương đương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giao, xử lý tạp chất, chất thải với đơn vị có chức năng phù hợp (trong trường hợp không có công nghệ, thiết bị xử lý tạp chất đi kèm, chất thải phát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giám sát môi trường định kỳ của cơ sở (trường hợp báo cáo không có kết quả giám sát môi trường đối với các công trình, thiết bị xử lý chất thải trong quá trình sản xuất, tái chế, tái sử dụng phế liệu thì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hợp đồng nguyên tắc ủy thác nhập khẩu ký với tổ chức, cá nhân sử dụng phế liệu nhập khẩu làm nguyên liệu sản xuất đã được cấp Giấy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còn hiệu lực của các tổ chức, cá nhân trực tiếp sử dụng phế liệu nhập khẩu làm nguyên liệu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về tái xuất hoặc xử lý phế liệu nhập khẩu theo mẫu quy định tại Phụ lục 4b ban hành kèm theo Thông tư số 41/2015/TT-BTNMT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Văn phòng Tiếp nhận và Trả kết quả giải quyết thủ tục hành chính - Bộ Tài nguyên và Môi trường: số 10 Tôn Thất Thuyết, Nam Từ Liêm, Hà Nội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về bảo vệ môi trường trong nhập khẩu phế liệu làm nguyên liệu sản xuất hoặc văn bản không chấp thuận việc đề nghị cấp Giấy xác nhận đủ điều kiện nhập khẩu phế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41/2015/TT-BTNMT</w:t>
            </w:r>
          </w:p>
        </w:tc>
        <w:tc>
          <w:p/>
          <w:p>
            <w:pPr>
              <w:spacing w:after="0" w:before="0" w:lineRule="auto" w:line="276"/>
              <w:jc w:val="left"/>
            </w:pPr>
            <w:r>
              <w:rPr>
                <w:rFonts w:ascii="Times New Roman" w:hAnsi="Times New Roman" w:cs="Times New Roman" w:eastAsia="Times New Roman"/>
                <w:b w:val="false"/>
                <w:sz w:val="26"/>
              </w:rPr>
              <w:t>Thông tư 41/2015/TT-BTNMT</w:t>
            </w:r>
          </w:p>
        </w:tc>
        <w:tc>
          <w:p/>
          <w:p>
            <w:pPr>
              <w:spacing w:after="0" w:before="0" w:lineRule="auto" w:line="276"/>
              <w:jc w:val="left"/>
            </w:pPr>
            <w:r>
              <w:rPr>
                <w:rFonts w:ascii="Times New Roman" w:hAnsi="Times New Roman" w:cs="Times New Roman" w:eastAsia="Times New Roman"/>
                <w:b w:val="false"/>
                <w:sz w:val="26"/>
              </w:rPr>
              <w:t>09-09-2015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03/2018/TT-BTNMT</w:t>
            </w:r>
          </w:p>
        </w:tc>
        <w:tc>
          <w:p/>
          <w:p>
            <w:pPr>
              <w:spacing w:after="0" w:before="0" w:lineRule="auto" w:line="276"/>
              <w:jc w:val="left"/>
            </w:pPr>
            <w:r>
              <w:rPr>
                <w:rFonts w:ascii="Times New Roman" w:hAnsi="Times New Roman" w:cs="Times New Roman" w:eastAsia="Times New Roman"/>
                <w:b w:val="false"/>
                <w:sz w:val="26"/>
              </w:rPr>
              <w:t>Thông tư 03/2018/TT-BTNMT</w:t>
            </w:r>
          </w:p>
        </w:tc>
        <w:tc>
          <w:p/>
          <w:p>
            <w:pPr>
              <w:spacing w:after="0" w:before="0" w:lineRule="auto" w:line="276"/>
              <w:jc w:val="left"/>
            </w:pPr>
            <w:r>
              <w:rPr>
                <w:rFonts w:ascii="Times New Roman" w:hAnsi="Times New Roman" w:cs="Times New Roman" w:eastAsia="Times New Roman"/>
                <w:b w:val="false"/>
                <w:sz w:val="26"/>
              </w:rPr>
              <w:t>14-08-2018</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hợp đồng ủy thác nhập khẩu ký với tổ chức, cá nhân sử dụng phế liệu nhập khẩu làm nguyên liệu sản xuất đã đáp ứng đúng các quy định tại Khoản 1 Điều 56 Nghị định số 38/2015/NĐ-CP;
- Ký quỹ bảo đảm phế liệu nhập khẩu theo quy định tại Nghị định số 38/2015/NĐ-CP;
- Có văn bản cam kết về việc tái xuất hoặc xử lý phế liệu trong trường hợp phế liệu nhập khẩu không đáp ứng yêu cầu về bảo vệ môi trường;
- Không được phép lưu giữ phế liệu nhập khẩu trong trường hợp không có kho bãi đảm bảo các điều kiện quy định tại Khoản 1 Điều 56 Nghị định số 38/2015/NĐ-CP.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2026-05-21T16:50:07Z</dcterms:created>
  <dc:creator>Apache POI</dc:creator>
</cp:coreProperties>
</file>