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1.001874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3657/QĐ-BVHTTDL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đổi Giấy chứng nhận đăng ký hoạt động của cơ sở tư vấn về phòng, chống bạo lực gia đình (thẩm quyền của Uỷ ban nhân dân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Gia đình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Cơ sở tư vấn về phòng, chống bạo lực gia đình do các tổ chức, cá nhân trong nước thành lập đã được Uỷ ban nhân dân cấp huyện cấp Giấy chứng nhận đăng ký hoạt động nếu có thay đổi về tên gọi, địa chỉ đặt trụ sở, người đứng đầu, nội dung hoạt động thì nộp hồ sơ cho Phòng Văn hóa và Thông tin.</w:t>
      </w:r>
    </w:p>
    <w:p>
      <w:pPr>
        <w:spacing w:after="0" w:before="0" w:lineRule="auto" w:line="276"/>
        <w:jc w:val="both"/>
      </w:pPr>
      <w:r>
        <w:rPr>
          <w:rFonts w:ascii="Times New Roman" w:hAnsi="Times New Roman" w:cs="Times New Roman" w:eastAsia="Times New Roman"/>
          <w:b w:val="false"/>
          <w:sz w:val="26"/>
        </w:rPr>
        <w:t>- Phòng Văn hóa và Thông tin tiếp nhận hồ sơ và cấp giấy biên nhận cho bên nộp hồ sơ.</w:t>
      </w:r>
    </w:p>
    <w:p>
      <w:pPr>
        <w:spacing w:after="0" w:before="0" w:lineRule="auto" w:line="276"/>
        <w:jc w:val="both"/>
      </w:pPr>
      <w:r>
        <w:rPr>
          <w:rFonts w:ascii="Times New Roman" w:hAnsi="Times New Roman" w:cs="Times New Roman" w:eastAsia="Times New Roman"/>
          <w:b w:val="false"/>
          <w:sz w:val="26"/>
        </w:rPr>
        <w:t>- Trong thời hạn 10 ngày làm việc kể từ ngày nhận đủ hồ sơ hợp lệ, Phòng Văn hoá và Thông tin phải có kết quả thẩm định hồ sơ.
Trường hợp hồ sơ chưa hợp lệ thì cơ quan tiếp nhận hồ sơ có trách nhiệm hướng dẫn cơ sở hoàn thiện hồ sơ, thời hạn có kết quả thẩm định được tính lại từ khi nhận đủ hồ sơ hợp lệ.</w:t>
      </w:r>
    </w:p>
    <w:p>
      <w:pPr>
        <w:spacing w:after="0" w:before="0" w:lineRule="auto" w:line="276"/>
        <w:jc w:val="both"/>
      </w:pPr>
      <w:r>
        <w:rPr>
          <w:rFonts w:ascii="Times New Roman" w:hAnsi="Times New Roman" w:cs="Times New Roman" w:eastAsia="Times New Roman"/>
          <w:b w:val="false"/>
          <w:sz w:val="26"/>
        </w:rPr>
        <w:t>- Trong thời hạn 03 ngày làm việc kể từ khi có kết quả thẩm định, cơ quan thẩm định phải gửi một bộ hồ sơ và biên bản thẩm định cơ sở tư vấn về phòng, chống bạo lực gia đình tới Uỷ ban nhân dân cấp huyện.</w:t>
      </w:r>
    </w:p>
    <w:p>
      <w:pPr>
        <w:spacing w:after="0" w:before="0" w:lineRule="auto" w:line="276"/>
        <w:jc w:val="both"/>
      </w:pPr>
      <w:r>
        <w:rPr>
          <w:rFonts w:ascii="Times New Roman" w:hAnsi="Times New Roman" w:cs="Times New Roman" w:eastAsia="Times New Roman"/>
          <w:b w:val="false"/>
          <w:sz w:val="26"/>
        </w:rPr>
        <w:t>- Trong thời hạn 07 ngày làm việc kể từ khi nhận đủ hồ sơ và biên bản thẩm định, Uỷ ban nhân dân cấp huyện có trách nhiệm đổi Giấy chứng nhận  đăng ký hoạt động cho cơ sở tư vấn về phòng, chống bạo lực gia đình.</w:t>
      </w:r>
    </w:p>
    <w:p>
      <w:pPr>
        <w:spacing w:after="0" w:before="0" w:lineRule="auto" w:line="276"/>
        <w:jc w:val="both"/>
      </w:pPr>
      <w:r>
        <w:rPr>
          <w:rFonts w:ascii="Times New Roman" w:hAnsi="Times New Roman" w:cs="Times New Roman" w:eastAsia="Times New Roman"/>
          <w:b w:val="false"/>
          <w:sz w:val="26"/>
        </w:rPr>
        <w:t>- Quy chế hoạt động sửa đổi, bổ sung của cơ sở được cơ quan cấp Giấy chứng nhận đăng ký hoạt động phê duyệt đồng thời với việc cấp Giấy chứng nhận đăng ký hoạt động cho cơ sở.
Trường hợp từ chối đổi Giấy chứng nhận đăng ký hoạt động thì Uỷ ban nhân dân cấp huyện phải trả lời bằng văn bản,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thực hiện là 20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thực hiện là 20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đổi Giấy chứng nhận đăng ký hoạt động cơ sở tư vấn về phòng, chống bạo lực gia đình;</w:t>
            </w:r>
          </w:p>
        </w:tc>
        <w:tc>
          <w:p/>
          <w:p>
            <w:pPr>
              <w:spacing w:after="0" w:before="0" w:lineRule="auto" w:line="276"/>
              <w:jc w:val="left"/>
            </w:pPr>
            <w:r>
              <w:rPr>
                <w:rFonts w:ascii="Times New Roman" w:hAnsi="Times New Roman" w:cs="Times New Roman" w:eastAsia="Times New Roman"/>
                <w:b w:val="false"/>
                <w:sz w:val="26"/>
              </w:rPr>
              <w:t>mẫu đơn đổi GCN.CSTV.gia đình.huyện.docx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chứng nhận đăng ký hoạt động đã được cấp cho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Các giấy tờ liên quan đến nội dung thay đổi (tên gọi, địa chỉ, người đứng đầu, nội dung hoạt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Dự thảo Quy chế hoạt động sửa đổi, bổ sung của cơ sở tư vấn về phòng, chống bạo lực gia đình (nếu có sửa đổi,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Văn hóa và Thông tin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thành lập cơ sở cung cấp dịch vụ trợ giúp phòng, chống bạo lực gia đình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02/2007/QH12</w:t>
            </w:r>
          </w:p>
        </w:tc>
        <w:tc>
          <w:p/>
          <w:p>
            <w:pPr>
              <w:spacing w:after="0" w:before="0" w:lineRule="auto" w:line="276"/>
              <w:jc w:val="left"/>
            </w:pPr>
            <w:r>
              <w:rPr>
                <w:rFonts w:ascii="Times New Roman" w:hAnsi="Times New Roman" w:cs="Times New Roman" w:eastAsia="Times New Roman"/>
                <w:b w:val="false"/>
                <w:sz w:val="26"/>
              </w:rPr>
              <w:t>Phòng, chống bạo lực gia đình</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08/2009/NĐ-CP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Phòng, chống bạo lực gia đình</w:t>
            </w:r>
          </w:p>
        </w:tc>
        <w:tc>
          <w:p/>
          <w:p>
            <w:pPr>
              <w:spacing w:after="0" w:before="0" w:lineRule="auto" w:line="276"/>
              <w:jc w:val="left"/>
            </w:pPr>
            <w:r>
              <w:rPr>
                <w:rFonts w:ascii="Times New Roman" w:hAnsi="Times New Roman" w:cs="Times New Roman" w:eastAsia="Times New Roman"/>
                <w:b w:val="false"/>
                <w:sz w:val="26"/>
              </w:rPr>
              <w:t>04-02-2009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02/2010/TT-BVHTTDL</w:t>
            </w:r>
          </w:p>
        </w:tc>
        <w:tc>
          <w:p/>
          <w:p>
            <w:pPr>
              <w:spacing w:after="0" w:before="0" w:lineRule="auto" w:line="276"/>
              <w:jc w:val="left"/>
            </w:pPr>
            <w:r>
              <w:rPr>
                <w:rFonts w:ascii="Times New Roman" w:hAnsi="Times New Roman" w:cs="Times New Roman" w:eastAsia="Times New Roman"/>
                <w:b w:val="false"/>
                <w:sz w:val="26"/>
              </w:rPr>
              <w:t>Quy định chi tiết về thủ tục đăng ký hoạt động, giải thể cơ sở hỗ trợ nạn nhân bạo lực gia đình; cơ sở tư vấn về phòng, chống bạo lực gia đình; tiêu chuẩn của nhân viên tư vấn; cấp thẻ nhân viên tư vấn, chứng nhận nghiệp vụ chăm sóc, tư vấn và tập huấn phòng, chống bạo lực gia đình</w:t>
            </w:r>
          </w:p>
        </w:tc>
        <w:tc>
          <w:p/>
          <w:p>
            <w:pPr>
              <w:spacing w:after="0" w:before="0" w:lineRule="auto" w:line="276"/>
              <w:jc w:val="left"/>
            </w:pPr>
            <w:r>
              <w:rPr>
                <w:rFonts w:ascii="Times New Roman" w:hAnsi="Times New Roman" w:cs="Times New Roman" w:eastAsia="Times New Roman"/>
                <w:b w:val="false"/>
                <w:sz w:val="26"/>
              </w:rPr>
              <w:t>16-03-2010</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23/2014/TT-BVHTTDL</w:t>
            </w:r>
          </w:p>
        </w:tc>
        <w:tc>
          <w:p/>
          <w:p>
            <w:pPr>
              <w:spacing w:after="0" w:before="0" w:lineRule="auto" w:line="276"/>
              <w:jc w:val="left"/>
            </w:pPr>
            <w:r>
              <w:rPr>
                <w:rFonts w:ascii="Times New Roman" w:hAnsi="Times New Roman" w:cs="Times New Roman" w:eastAsia="Times New Roman"/>
                <w:b w:val="false"/>
                <w:sz w:val="26"/>
              </w:rPr>
              <w:t>Thông tư 23/2014/TT-BVHTTDL sửa đổi Thông tư 02/2010/TT-BVHTTDL</w:t>
            </w:r>
          </w:p>
        </w:tc>
        <w:tc>
          <w:p/>
          <w:p>
            <w:pPr>
              <w:spacing w:after="0" w:before="0" w:lineRule="auto" w:line="276"/>
              <w:jc w:val="left"/>
            </w:pPr>
            <w:r>
              <w:rPr>
                <w:rFonts w:ascii="Times New Roman" w:hAnsi="Times New Roman" w:cs="Times New Roman" w:eastAsia="Times New Roman"/>
                <w:b w:val="false"/>
                <w:sz w:val="26"/>
              </w:rPr>
              <w:t>20-02-2015</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2026-05-22T17:49:57Z</dcterms:created>
  <dc:creator>Apache POI</dc:creator>
</cp:coreProperties>
</file>