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kinh doanh có tổ chức kệ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hoạt động, cơ sở kinh doanh có tổ chức kệ thuốc nộp trực tiếp hoặc gửi qua đường bưu điện 01 bộ hồ sơ công bố cơ sở kinh doanh có tổ chức kệ thuốc theo quy định tại khoản 1 Điều này đến Sở Y tế nơi cơ sở đó đặt trụ sở;</w:t>
      </w:r>
    </w:p>
    <w:p>
      <w:pPr>
        <w:spacing w:after="0" w:before="0" w:lineRule="auto" w:line="276"/>
        <w:jc w:val="both"/>
      </w:pPr>
      <w:r>
        <w:rPr>
          <w:rFonts w:ascii="Times New Roman" w:hAnsi="Times New Roman" w:cs="Times New Roman" w:eastAsia="Times New Roman"/>
          <w:b w:val="false"/>
          <w:sz w:val="26"/>
        </w:rPr>
        <w:t>Bước 2: Khi nhận hồ sơ, Sở Y tế cấp cho cơ sở kinh doanh có tổ chức kệ thuốc Phiếu tiếp nhận hồ sơ công bố theo Mẫu số 02 quy định tại Phụ lục I kèm theo Thông tư 07/2018/TT-BYT;</w:t>
      </w:r>
    </w:p>
    <w:p>
      <w:pPr>
        <w:spacing w:after="0" w:before="0" w:lineRule="auto" w:line="276"/>
        <w:jc w:val="both"/>
      </w:pPr>
      <w:r>
        <w:rPr>
          <w:rFonts w:ascii="Times New Roman" w:hAnsi="Times New Roman" w:cs="Times New Roman" w:eastAsia="Times New Roman"/>
          <w:b w:val="false"/>
          <w:sz w:val="26"/>
        </w:rPr>
        <w:t>Bước 3: Trong thời hạn 05 (năm) ngày làm việc, kể từ ngày ghi trên Phiếu tiếp nhận hồ sơ, Sở Y tế có trách nhiệm công bố trên Trang Thông tin điện tử của Sở Y tế danh sách cơ sở kinh doanh có tổ chức kệ thuốc đủ điều kiện.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cơ sở kinh doanh có tổ chức kệ thuốc theo Mẫu số 07</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hoặc Giấy chứng nhận đầu tư hoặc Giấy chứng nhận đăng ký doanh nghiệp có ký, đóng dấu xác nhận của cơ sở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chứng chỉ sơ cấp dược trở lên của người chịu trách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thuốc dự kiến bán tại kệ thuốc. Danh mục này phải nằm trong Danh mục thuốc được bán tại kệ thuốc theo quy định tại Phụ lục II kèm theo Thông tư này;</w:t>
            </w:r>
          </w:p>
        </w:tc>
        <w:tc>
          <w:p/>
          <w:p>
            <w:pPr>
              <w:spacing w:after="0" w:before="0" w:lineRule="auto" w:line="276"/>
              <w:jc w:val="left"/>
            </w:pPr>
            <w:r>
              <w:rPr>
                <w:rFonts w:ascii="Times New Roman" w:hAnsi="Times New Roman" w:cs="Times New Roman" w:eastAsia="Times New Roman"/>
                <w:b w:val="false"/>
                <w:sz w:val="26"/>
              </w:rPr>
              <w:t>PhulucII_TT07_2018.doc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tủ, quầy, kệ bảo quản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trình kiểm tra, giám sát: chất lượng thuốc; xuất, nhập thuốc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07/2018/TT-BYT</w:t>
            </w:r>
          </w:p>
        </w:tc>
        <w:tc>
          <w:p/>
          <w:p>
            <w:pPr>
              <w:spacing w:after="0" w:before="0" w:lineRule="auto" w:line="276"/>
              <w:jc w:val="left"/>
            </w:pPr>
            <w:r>
              <w:rPr>
                <w:rFonts w:ascii="Times New Roman" w:hAnsi="Times New Roman" w:cs="Times New Roman" w:eastAsia="Times New Roman"/>
                <w:b w:val="false"/>
                <w:sz w:val="26"/>
              </w:rPr>
              <w:t>Thông tư 07/2018/TT-BYT</w:t>
            </w:r>
          </w:p>
        </w:tc>
        <w:tc>
          <w:p/>
          <w:p>
            <w:pPr>
              <w:spacing w:after="0" w:before="0" w:lineRule="auto" w:line="276"/>
              <w:jc w:val="left"/>
            </w:pPr>
            <w:r>
              <w:rPr>
                <w:rFonts w:ascii="Times New Roman" w:hAnsi="Times New Roman" w:cs="Times New Roman" w:eastAsia="Times New Roman"/>
                <w:b w:val="false"/>
                <w:sz w:val="26"/>
              </w:rPr>
              <w:t>12-04-2018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kinh doanh có tổ chức kệ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2026-05-22T15:38:01Z</dcterms:created>
  <dc:creator>Apache POI</dc:creator>
</cp:coreProperties>
</file>