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công nhận tổ chức tôn giáo có địa bàn hoạt động ở một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Tổ chức được cấp chứng nhận đăng ký hoạt động tôn giáo có địa bàn hoạt động ở một tỉnh đủ điều kiện theo quy định tại Điều 21 của Luật tín ngưỡng, tôn giáo gửi hồ sơ đề nghị công nhận tổ chức tôn giáo đến Sở Nội vụ.</w:t>
      </w:r>
    </w:p>
    <w:p>
      <w:pPr>
        <w:spacing w:after="0" w:before="0" w:lineRule="auto" w:line="276"/>
        <w:jc w:val="both"/>
      </w:pPr>
      <w:r>
        <w:rPr>
          <w:rFonts w:ascii="Times New Roman" w:hAnsi="Times New Roman" w:cs="Times New Roman" w:eastAsia="Times New Roman"/>
          <w:b w:val="false"/>
          <w:sz w:val="26"/>
        </w:rPr>
        <w:t>Bước 2: Sở Nội vụ xem xét hồ sơ, trường hợp hồ sơ chưa đầy đủ, hợp lệ, Sở Nội vụ thông báo qua mạng Internet hoặc văn bản cho tổ chức để hoàn chỉnh hồ sơ.</w:t>
      </w:r>
    </w:p>
    <w:p>
      <w:pPr>
        <w:spacing w:after="0" w:before="0" w:lineRule="auto" w:line="276"/>
        <w:jc w:val="both"/>
      </w:pPr>
      <w:r>
        <w:rPr>
          <w:rFonts w:ascii="Times New Roman" w:hAnsi="Times New Roman" w:cs="Times New Roman" w:eastAsia="Times New Roman"/>
          <w:b w:val="false"/>
          <w:sz w:val="26"/>
        </w:rPr>
        <w:t>Bước 3:
+ Sở Nội vụ phối hợp với các cơ quan liên quan thẩm định hồ sơ trình Ủy ban nhân dân cấp tỉnh.
+ Ủy ban nhân dân cấp tỉnh căn cứ Tờ trình của Sở Nội vụ công nhận hoặc không công nhận tổ chức tôn giáo có địa bàn hoạt động ở một tỉnh. Trường hợp không công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Sở Nội vụ nhận đủ hồ sơ đề nghị hợp lệ. Nộp hồ sơ trực tiếp tại Sở Nội vụ. Sở Nội vụ tiếp nhận hồ sơ và có giấy hẹn trả kết quả.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Sở Nội vụ nhận đủ hồ sơ đề nghị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Sở Nội vụ nhận đủ hồ sơ đề nghị hợp lệ. Ngày tiếp nhận hồ sơ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w:t>
            </w:r>
          </w:p>
        </w:tc>
        <w:tc>
          <w:p/>
          <w:p>
            <w:pPr>
              <w:spacing w:after="0" w:before="0" w:lineRule="auto" w:line="276"/>
              <w:jc w:val="left"/>
            </w:pPr>
            <w:r>
              <w:rPr>
                <w:rFonts w:ascii="Times New Roman" w:hAnsi="Times New Roman" w:cs="Times New Roman" w:eastAsia="Times New Roman"/>
                <w:b w:val="false"/>
                <w:sz w:val="26"/>
              </w:rPr>
              <w:t>Mẫu B9.docx.doc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tóm tắt quá trình hoạt động của tổ chức từ khi được cấp chứng nhận đăng ký hoạt động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sách, sơ yếu lý lịch, phiếu lý lịch tư pháp, bản tóm tắt quá trình hoạt động tôn giáo của người đại diện và những người dự kiến lãnh đạo tổ chức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lễ nghi;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Hiến chương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kê khai tài sản hợp pháp của tổ chức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đặt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chức tôn giáo hoặc văn bản trả lời về việc không công nhận tổ chức tôn giáo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Hoạt động ổn định, liên tục từ đủ 05 năm trở lên kể từ ngày được cấp chứng nhận đăng ký hoạt động tôn giáo.
- Có hiến chương theo quy định tại Điều 23 của Luật tín ngưỡng, tôn giáo.
- Người đại diện, người lãnh đạo tổ chức là công dân Việt Nam thường trú tại Việt Nam, có năng lực hành vi dân sự đầy đủ; không trong thời gian bị áp dụng biện pháp xử lý hành chính trong lĩnh vực tín ngưỡng, tôn giáo; không có án tích hoặc không phải là người đang bị buộc tội theo quy định của pháp luật về tố tụng hình sự.
- Có cơ cấu tổ chức theo hiến chương.
- Có tài sản độc lập với cá nhân, tổ chức khác và tự chịu trách nhiệm bằng tài sản của mình.
- Nhân danh tổ chức tham gia quan hệ pháp luật một cách độc lập.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2026-05-08T14:35:24Z</dcterms:created>
  <dc:creator>Apache POI</dc:creator>
</cp:coreProperties>
</file>