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mắc bệnh, tật, dị dạng, dị tật có liên quan đến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GĐYK tỉnh gửi hồ sơ đề nghị cấp giấy chứng nhận bị phơi nhiễm với chất độc hóa học đến Sở Y tế.
Bước 2. Sở Y tế tiếp nhận các giấy tờ liên quan đến phơi nhiễm chất độc hóa học của các đối tượng. Trong thời gian 10 ngày làm việc, kể từ khi nhận đủ giấy tờ theo quy định, Sở Y tế có trách nhiệm cấp Giấy chứng nhận mắc bệnh, tật, dị dạng, dị tật có liên quan đến phơi nhiễm với chất độc hóa học về Sở LĐTBXH để làm căn cứ thực hiện chế độ ưu đãi đối với đối tượng theo quy định.
Trường hợp không phê duyệt sẽ có văn bản trả lời và nêu rõ lý do từ chối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khám GĐYK của Hội đồng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luận đối tượng bị vô sinh của bệnh viện đa khoa tỉnh hoặc bệnh viện chuyên khoa Phụ sản tỉnh, thành phố trực thuộc Trung ương hoặc bệnh viện hạng I trở lên. Các bệnh viện này phải được cơ quan có thẩm quyền phê duyệt thực hiện kỹ thuật xác định vô sinh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mắc bệnh, tật, dị dạng, dị tật có liên quan đến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20/2016/TTLT-BYT-BLĐTBXH</w:t>
            </w:r>
          </w:p>
        </w:tc>
        <w:tc>
          <w:p/>
          <w:p>
            <w:pPr>
              <w:spacing w:after="0" w:before="0" w:lineRule="auto" w:line="276"/>
              <w:jc w:val="left"/>
            </w:pPr>
            <w:r>
              <w:rPr>
                <w:rFonts w:ascii="Times New Roman" w:hAnsi="Times New Roman" w:cs="Times New Roman" w:eastAsia="Times New Roman"/>
                <w:b w:val="false"/>
                <w:sz w:val="26"/>
              </w:rPr>
              <w:t>Thông tư liên tịch 20/2016/TTLT-BYT-BLĐTBXH Hướng dẫn khám giám định bệnh, tật, di dạng, dị tật có liên quan đến phơi nhiễm với chất độc hóa học đối với người hoạt động kháng chến và con đẻ của họ</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26/2005/PL-UBTVQH11</w:t>
            </w:r>
          </w:p>
        </w:tc>
        <w:tc>
          <w:p/>
          <w:p>
            <w:pPr>
              <w:spacing w:after="0" w:before="0" w:lineRule="auto" w:line="276"/>
              <w:jc w:val="left"/>
            </w:pPr>
            <w:r>
              <w:rPr>
                <w:rFonts w:ascii="Times New Roman" w:hAnsi="Times New Roman" w:cs="Times New Roman" w:eastAsia="Times New Roman"/>
                <w:b w:val="false"/>
                <w:sz w:val="26"/>
              </w:rPr>
              <w:t>Pháp lệnh 26/2005/PL-UBTVQH11</w:t>
            </w:r>
          </w:p>
        </w:tc>
        <w:tc>
          <w:p/>
          <w:p>
            <w:pPr>
              <w:spacing w:after="0" w:before="0" w:lineRule="auto" w:line="276"/>
              <w:jc w:val="left"/>
            </w:pPr>
            <w:r>
              <w:rPr>
                <w:rFonts w:ascii="Times New Roman" w:hAnsi="Times New Roman" w:cs="Times New Roman" w:eastAsia="Times New Roman"/>
                <w:b w:val="false"/>
                <w:sz w:val="26"/>
              </w:rPr>
              <w:t>29-06-2005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2026-05-05T23:24:36Z</dcterms:created>
  <dc:creator>Apache POI</dc:creator>
</cp:coreProperties>
</file>