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đến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 Công chức, viên chức tại Bộ phận tiếp nhận và trả kết quả giải quyết thủ tục hành chính của của Ủy ban nhân dân cấp huyện kiểm tra tính chính xác, đầy đủ của hồ sơ, tiếp nhận hồ sơ do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Trong thời hạn 7 ngày làm việc kể từ ngày tiếp nhận hồ sơ, cơ quan có thẩm quyền cấp giấy phép xây dựng phải tổ chức thẩm định hồ sơ, kiểm tra thực địa.</w:t>
      </w:r>
    </w:p>
    <w:p>
      <w:pPr>
        <w:spacing w:after="0" w:before="0" w:lineRule="auto" w:line="276"/>
        <w:jc w:val="both"/>
      </w:pPr>
      <w:r>
        <w:rPr>
          <w:rFonts w:ascii="Times New Roman" w:hAnsi="Times New Roman" w:cs="Times New Roman" w:eastAsia="Times New Roman"/>
          <w:b w:val="false"/>
          <w:sz w:val="26"/>
        </w:rPr>
        <w:t>- Trong thời hạn 5 ngày làm việc kể từ ngày nhận bổ sung hồ sơ nhưng chưa đáp ứng được yêu cầu theo văn bản thông báo,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20 ngày đối với công trình và 15 ngày đối với nhà ở riêng lẻ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100.000 Đồng</w:t>
              <w:t xml:space="preserve"> (- Cấp phép cây dựng các công trình: 100.000 đồng/ giấy phép.)</w:t>
            </w:r>
          </w:p>
          <w:p>
            <w:pPr>
              <w:spacing w:after="0" w:before="0" w:lineRule="auto" w:line="276"/>
              <w:jc w:val="left"/>
            </w:pPr>
            <w:r>
              <w:rPr>
                <w:rFonts w:ascii="Times New Roman" w:hAnsi="Times New Roman" w:cs="Times New Roman" w:eastAsia="Times New Roman"/>
                <w:b w:val="false"/>
                <w:sz w:val="26"/>
              </w:rPr>
              <w:t>Lệ phí : 50.000 Đồng</w:t>
              <w:t xml:space="preserve"> (- Cấp giấy phép xây dựng nhà ở riêng lẻ: 50.000 đồng /giấy phép.)</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20 ngày đối với công trình và 15 ngày đối với nhà ở riêng lẻ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 Cấp giấy phép xây dựng nhà ở riêng lẻ: 50.000 đồng /giấy phép.)</w:t>
            </w:r>
          </w:p>
          <w:p>
            <w:pPr>
              <w:spacing w:after="0" w:before="0" w:lineRule="auto" w:line="276"/>
              <w:jc w:val="left"/>
            </w:pPr>
            <w:r>
              <w:rPr>
                <w:rFonts w:ascii="Times New Roman" w:hAnsi="Times New Roman" w:cs="Times New Roman" w:eastAsia="Times New Roman"/>
                <w:b w:val="false"/>
                <w:sz w:val="26"/>
              </w:rPr>
              <w:t>Lệ phí : 100.000 Đồng</w:t>
              <w:t xml:space="preserve"> (- Cấp phép cây dựng các công trình: 100.000 đồng/ giấy phép.)</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20 ngày đối với công trình và 15 ngày đối với nhà ở riêng lẻ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 Cấp giấy phép xây dựng nhà ở riêng lẻ: 50.000 đồng /giấy phép.)</w:t>
            </w:r>
          </w:p>
          <w:p>
            <w:pPr>
              <w:spacing w:after="0" w:before="0" w:lineRule="auto" w:line="276"/>
              <w:jc w:val="left"/>
            </w:pPr>
            <w:r>
              <w:rPr>
                <w:rFonts w:ascii="Times New Roman" w:hAnsi="Times New Roman" w:cs="Times New Roman" w:eastAsia="Times New Roman"/>
                <w:b w:val="false"/>
                <w:sz w:val="26"/>
              </w:rPr>
              <w:t>Lệ phí : 100.000 Đồng</w:t>
              <w:t xml:space="preserve"> (- Cấp phép cây dựng các công trình: 100.000 đồng/ giấy phép.)</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số 1 Phụ lục số II Nghị định số 15/2021/NĐ-CP ngày 03/3/2021 của Chính phủ (riêng đối với mẫu đơn đề nghị cấp Giấy phép xây dựng có thời hạn thì tiêu đề của đơn đổi thành “Đơn đề nghị cấp giấy phép xây dựng có thời hạn”), ngoài ra thành phần hồ sơ cho từng loại công trình cụ thể như sau:</w:t>
            </w:r>
          </w:p>
        </w:tc>
        <w:tc>
          <w:p/>
          <w:p>
            <w:pPr>
              <w:spacing w:after="0" w:before="0" w:lineRule="auto" w:line="276"/>
              <w:jc w:val="left"/>
            </w:pPr>
            <w:r>
              <w:rPr>
                <w:rFonts w:ascii="Times New Roman" w:hAnsi="Times New Roman" w:cs="Times New Roman" w:eastAsia="Times New Roman"/>
                <w:b w:val="false"/>
                <w:sz w:val="26"/>
              </w:rPr>
              <w:t>Don de nghi cap GPXD.docx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(1.2) Đối với công trình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(1.3) Đối với công trình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(1.4) Đối với công trình tín ngưỡng: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Giấy chứng nhận thẩm duyệt thiết kế về phòng cháy, chữa cháy kèm theo bản vẽ thẩm duyệt trong trường hợp pháp luật về phòng cháy và chữa cháy có yêu cầu; báo cáo kết quả thẩm tra thiết kế xây dựng trong trường hợp pháp luật về xây dựng có yêu cầu,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và mặt cắt móng kèm theo sơ đồ đấu nối hệ thống hạ tầng kỹ thuật bên ngoài công trình gồm cấp nước, thoát nước, cấp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chuyên môn về tín ngưỡng thuộc Ủy ban nhân dân cấp tỉnh; báo cáo kết quả thẩm tra thiết kế xây dựng đối với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tín ngưỡng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(1.5) Đối với công trình tượng đài, tranh hoành tráng: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(1.6) Đối với công trình của các cơ quan ngoại giao và tổ chức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(1.7) Đối với công trình nhà ở riêng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Giấy chứng nhận thẩm duyệt thiết kế về phòng cháy, chữa cháy kèm theo bản vẽ thẩm duyệt trong trường hợp pháp luật về phòng cháy và chữa cháy có yêu cầu; báo cáo kết quả thẩm tra thiết kế xây dựng trong trường hợp pháp luật về xây dựng có yêu cầu,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và mặt cắt móng kèm theo sơ đồ đấu nối hệ thống hạ tầng kỹ thuật bên ngoài công trình gồm cấp nước, thoát nước, cấp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GPXD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2026-05-19T11:13:02Z</dcterms:created>
  <dc:creator>Apache POI</dc:creator>
</cp:coreProperties>
</file>