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4874/QĐ-BVHTTDL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bảo vật quốc gia đối với bảo tàng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Bảo tàng quốc gia gửi văn bản đề nghị và Hồ sơ hiện vật đến Bộ trưởng Bộ Văn hóa, Thể thao và Du lịch kèm theo ý kiến thẩm định bằng văn bản của Hội đồng khoa học của bảo tàng (hoặc các hội đồng khác của bảo tàng có liên quan đến hiện vật).</w:t>
      </w:r>
    </w:p>
    <w:p>
      <w:pPr>
        <w:spacing w:after="0" w:before="0" w:lineRule="auto" w:line="276"/>
        <w:jc w:val="both"/>
      </w:pPr>
      <w:r>
        <w:rPr>
          <w:rFonts w:ascii="Times New Roman" w:hAnsi="Times New Roman" w:cs="Times New Roman" w:eastAsia="Times New Roman"/>
          <w:b w:val="false"/>
          <w:sz w:val="26"/>
        </w:rPr>
        <w:t>- Trong thời hạn 30 ngày kể từ ngày nhận được văn bản đề nghị, Hồ sơ hiện vật và các văn bản có liên quan, Bộ trưởng Bộ Văn hóa, Thể thao và Du lịch giao Hội đồng giám định di vật, cổ vật, bảo vật quốc gia của Bộ Văn hóa, Thể thao và Du lịch (sau đây gọi là Hội đồng giám định cổ vật) thẩm định hiện vật và Hồ sơ hiện vật.</w:t>
      </w:r>
    </w:p>
    <w:p>
      <w:pPr>
        <w:spacing w:after="0" w:before="0" w:lineRule="auto" w:line="276"/>
        <w:jc w:val="both"/>
      </w:pPr>
      <w:r>
        <w:rPr>
          <w:rFonts w:ascii="Times New Roman" w:hAnsi="Times New Roman" w:cs="Times New Roman" w:eastAsia="Times New Roman"/>
          <w:b w:val="false"/>
          <w:sz w:val="26"/>
        </w:rPr>
        <w:t>- Trong thời hạn 10 ngày, kể từ ngày có kết quả thẩm định của Hội đồng giám định cổ vật, Cục trưởng Cục Di sản văn hóa báo cáo Bộ trưởng Bộ Văn hóa, Thể thao và Du lịch xem xét, quyết định việc gửi văn bản đề nghị Hội đồng Di sản văn hóa quốc gia thẩm định hiện vật và Hồ sơ hiện vật.</w:t>
      </w:r>
    </w:p>
    <w:p>
      <w:pPr>
        <w:spacing w:after="0" w:before="0" w:lineRule="auto" w:line="276"/>
        <w:jc w:val="both"/>
      </w:pPr>
      <w:r>
        <w:rPr>
          <w:rFonts w:ascii="Times New Roman" w:hAnsi="Times New Roman" w:cs="Times New Roman" w:eastAsia="Times New Roman"/>
          <w:b w:val="false"/>
          <w:sz w:val="26"/>
        </w:rPr>
        <w:t>- Trong thời hạn 10 ngày, kể từ ngày có ý kiến thẩm định của Hội đồng Di sản văn hóa quốc gia, Bộ trưởng Bộ Văn hóa, Thể thao và Du lịch trình Thủ tướng Chính phủ xem xét, quyết định công nhận bảo vật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được văn bản đề nghị, Hồ sơ hiện vật và các văn bản có liên quan, Bộ trưởng Bộ Văn hóa, Thể thao và Du lịch giao Hội đồng giám định cổ vật thẩm định hiện vật và Hồ sơ hiện vật.
- Trong thời hạn 10 ngày, kể từ ngày có kết quả thẩm định của Hội đồng giám định cổ vật, Cục trưởng Cục Di sản văn hóa báo cáo Bộ trưởng Bộ Văn hóa, Thể thao và Du lịch xem xét, quyết định việc gửi văn bản đề nghị Hội đồng Di sản văn hóa quốc gia thẩm định hiện vật và Hồ sơ hiện vật.
- Trong thời hạn 10 ngày, kể từ ngày có ý kiến thẩm định của Hội đồng Di sản văn hóa quốc gia, Bộ trưởng Bộ Văn hóa, Thể thao và Du lịch trình Thủ tướng Chính phủ xem xét, quyết định công nhận bảo vật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công nhận bảo vật quốc gia (Mẫu số 2a ban hành kèm theo Thông tư số 13/2010/TT-BVHTTDL ngày 30/12/2010 của Bộ Văn hóa, Thể thao và Du lịch quy định trình tự, thủ tục đề nghị công nhận bảo vật quốc gia);</w:t>
            </w:r>
          </w:p>
        </w:tc>
        <w:tc>
          <w:p/>
          <w:p>
            <w:pPr>
              <w:spacing w:after="0" w:before="0" w:lineRule="auto" w:line="276"/>
              <w:jc w:val="left"/>
            </w:pPr>
            <w:r>
              <w:rPr>
                <w:rFonts w:ascii="Times New Roman" w:hAnsi="Times New Roman" w:cs="Times New Roman" w:eastAsia="Times New Roman"/>
                <w:b w:val="false"/>
                <w:sz w:val="26"/>
              </w:rPr>
              <w:t>van ban de nghi mau 02.doc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Ý kiến thẩm định bằng văn bản của Hội đồng khoa học của bảo tàng (hoặc các hội đồng khác của bảo tàng có liên quan đến hiện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thuyết minh hiện vật đề nghị công nhận bảo vật quốc gia, trong đó phải trình bày rõ đặc điểm của hiện vật theo các tiêu chí quy định tại khoản 21 Điều 1 Luật sửa đổi, bổ sung một số điều của Luật di sản văn hóa (Mẫu số 1 ban hành kèm theo Thông tư số 13/2010/TT-BVHTTDL ngày 30/12/2010 của Bộ Văn hóa, Thể thao và Du lịch quy định trình tự, thủ tục đề nghị công nhận bảo vật quốc gia);</w:t>
            </w:r>
          </w:p>
        </w:tc>
        <w:tc>
          <w:p/>
          <w:p>
            <w:pPr>
              <w:spacing w:after="0" w:before="0" w:lineRule="auto" w:line="276"/>
              <w:jc w:val="left"/>
            </w:pPr>
            <w:r>
              <w:rPr>
                <w:rFonts w:ascii="Times New Roman" w:hAnsi="Times New Roman" w:cs="Times New Roman" w:eastAsia="Times New Roman"/>
                <w:b w:val="false"/>
                <w:sz w:val="26"/>
              </w:rPr>
              <w:t>Mau 01 TT 13 bản thuyết minh đề nghị công nhận BVQG.doc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Ảnh: 01 ảnh tổng thể và 01 ảnh đặc tả chi tiết (ảnh màu, từ cỡ 9cm x 12cm trở lên), chú thích đầy đủ, đảm bảo thể hiện các đặc trưng cơ bản của hiện vật. Khuyến khích gửi kèm theo ảnh lưu trữ trên các phương tiện kỹ thuật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ghi âm, ghi hình (nếu có) phải có âm thanh, hình ảnh rõ nét thể hiện sự độc đáo của hiện vật (ghi trên băng hoặc đĩa);</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bản dập (nếu có), bản dịch đối với những hiện vật là sách, tài liệu chữ cổ hoặc hiện vật có hoa văn trang trí, có chữ viết thể hiện trên hiện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(7) Tài liệu khác liên quan đến hiện vật (nếu có) gồm: Bài viết về hiện vật; xác nhận của nhân chứng đối với các hiện vật có giá trị lịch sử; giấy chứng nhận đăng ký di vật, cổ vật theo quy định tại khoản 1 Điều 2 Thông tư số 13/2010/TT-BVHTTDL ngày 30/12/2010 của Bộ Văn hóa, Thể thao và Du lịch quy định trình tự, thủ tục đề nghị công nhận bảo vật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bảo vật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32/2009/QH12</w:t>
            </w:r>
          </w:p>
        </w:tc>
        <w:tc>
          <w:p/>
          <w:p>
            <w:pPr>
              <w:spacing w:after="0" w:before="0" w:lineRule="auto" w:line="276"/>
              <w:jc w:val="left"/>
            </w:pPr>
            <w:r>
              <w:rPr>
                <w:rFonts w:ascii="Times New Roman" w:hAnsi="Times New Roman" w:cs="Times New Roman" w:eastAsia="Times New Roman"/>
                <w:b w:val="false"/>
                <w:sz w:val="26"/>
              </w:rPr>
              <w:t>Luật 32/2009/QH12 Sửa đổi, bổ sung một số điều của Luật Di sản văn hóa</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28/2001/QH10</w:t>
            </w:r>
          </w:p>
        </w:tc>
        <w:tc>
          <w:p/>
          <w:p>
            <w:pPr>
              <w:spacing w:after="0" w:before="0" w:lineRule="auto" w:line="276"/>
              <w:jc w:val="left"/>
            </w:pPr>
            <w:r>
              <w:rPr>
                <w:rFonts w:ascii="Times New Roman" w:hAnsi="Times New Roman" w:cs="Times New Roman" w:eastAsia="Times New Roman"/>
                <w:b w:val="false"/>
                <w:sz w:val="26"/>
              </w:rPr>
              <w:t>Luật 28/2001/QH10</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98/2010/NĐ-CP</w:t>
            </w:r>
          </w:p>
        </w:tc>
        <w:tc>
          <w:p/>
          <w:p>
            <w:pPr>
              <w:spacing w:after="0" w:before="0" w:lineRule="auto" w:line="276"/>
              <w:jc w:val="left"/>
            </w:pPr>
            <w:r>
              <w:rPr>
                <w:rFonts w:ascii="Times New Roman" w:hAnsi="Times New Roman" w:cs="Times New Roman" w:eastAsia="Times New Roman"/>
                <w:b w:val="false"/>
                <w:sz w:val="26"/>
              </w:rPr>
              <w:t>Nghị định 98/2010/NĐ-CP</w:t>
            </w:r>
          </w:p>
        </w:tc>
        <w:tc>
          <w:p/>
          <w:p>
            <w:pPr>
              <w:spacing w:after="0" w:before="0" w:lineRule="auto" w:line="276"/>
              <w:jc w:val="left"/>
            </w:pPr>
            <w:r>
              <w:rPr>
                <w:rFonts w:ascii="Times New Roman" w:hAnsi="Times New Roman" w:cs="Times New Roman" w:eastAsia="Times New Roman"/>
                <w:b w:val="false"/>
                <w:sz w:val="26"/>
              </w:rPr>
              <w:t>21-09-2010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13/2010/TT-BVHTTDL </w:t>
            </w:r>
          </w:p>
        </w:tc>
        <w:tc>
          <w:p/>
          <w:p>
            <w:pPr>
              <w:spacing w:after="0" w:before="0" w:lineRule="auto" w:line="276"/>
              <w:jc w:val="left"/>
            </w:pPr>
            <w:r>
              <w:rPr>
                <w:rFonts w:ascii="Times New Roman" w:hAnsi="Times New Roman" w:cs="Times New Roman" w:eastAsia="Times New Roman"/>
                <w:b w:val="false"/>
                <w:sz w:val="26"/>
              </w:rPr>
              <w:t>Thông tư 13/2010/TT-BVHTTDL</w:t>
            </w:r>
          </w:p>
        </w:tc>
        <w:tc>
          <w:p/>
          <w:p>
            <w:pPr>
              <w:spacing w:after="0" w:before="0" w:lineRule="auto" w:line="276"/>
              <w:jc w:val="left"/>
            </w:pPr>
            <w:r>
              <w:rPr>
                <w:rFonts w:ascii="Times New Roman" w:hAnsi="Times New Roman" w:cs="Times New Roman" w:eastAsia="Times New Roman"/>
                <w:b w:val="false"/>
                <w:sz w:val="26"/>
              </w:rPr>
              <w:t>30-12-2010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Hiện vật được đề nghị công nhận bảo vật quốc gia phải có các tiêu chí sau đây:
- Là hiện vật gốc độc bản;
- Là hiện vật có hình thức độc đáo;
- Là hiện vật có giá trị đặc biệt liên quan đến một sự kiện trọng đại của đất nước hoặc liên quan đến sự nghiệp của anh hùng dân tộc, danh nhân tiêu biểu; hoặc là tác phẩm nghệ thuật nổi tiếng về giá trị tư tưởng, nhân văn, giá trị thẩm mỹ tiêu biểu cho một khuynh hướng, một phong cách, một thời đại; hoặc là sản phẩm được phát minh, sáng chế tiêu biểu, có giá trị thực tiễn cao, có tác dụng thúc đẩy xã hội phát triển ở một giai đoạn lịch sử nhất định; hoặc là mẫu vật tự nhiên chứng minh cho các giai đoạn hình thành và phát triển của lịch sử trái đất, lịch sử tự nhiên.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2026-05-26T19:41:02Z</dcterms:created>
  <dc:creator>Apache POI</dc:creator>
</cp:coreProperties>
</file>