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3190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THPT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Thí sinh nộp hồ sơ tại đơn vị thí sinh đã tốt nghiệp THCS
Trường THCS chịu trách nhiệm hướng dẫn thí sinh ghi Đơn đăng ký tuyển sinh; nhận Đơn đăng ký tuyển sinh và các hồ sơ liên quan; quản lý hồ sơ đăng ký tuyển sinh.</w:t>
      </w:r>
    </w:p>
    <w:p>
      <w:pPr>
        <w:spacing w:after="0" w:before="0" w:lineRule="auto" w:line="276"/>
        <w:jc w:val="both"/>
      </w:pPr>
      <w:r>
        <w:rPr>
          <w:rFonts w:ascii="Times New Roman" w:hAnsi="Times New Roman" w:cs="Times New Roman" w:eastAsia="Times New Roman"/>
          <w:b w:val="false"/>
          <w:sz w:val="26"/>
        </w:rPr>
        <w:t>Trường THCS niêm yết danh sách thí sinh đăng ký tuyển sinh và công bố trên website nhà trường. Thí sinh kiểm tra xác nhận các thông tin được niêm yết tại trường.</w:t>
      </w:r>
    </w:p>
    <w:p>
      <w:pPr>
        <w:spacing w:after="0" w:before="0" w:lineRule="auto" w:line="276"/>
        <w:jc w:val="both"/>
      </w:pPr>
      <w:r>
        <w:rPr>
          <w:rFonts w:ascii="Times New Roman" w:hAnsi="Times New Roman" w:cs="Times New Roman" w:eastAsia="Times New Roman"/>
          <w:b w:val="false"/>
          <w:sz w:val="26"/>
        </w:rPr>
        <w:t>Phòng GDĐT tổng hợp danh sách thí sinh đăng kí tuyển sinh gửi về Sở GDĐT</w:t>
      </w:r>
    </w:p>
    <w:p>
      <w:pPr>
        <w:spacing w:after="0" w:before="0" w:lineRule="auto" w:line="276"/>
        <w:jc w:val="both"/>
      </w:pPr>
      <w:r>
        <w:rPr>
          <w:rFonts w:ascii="Times New Roman" w:hAnsi="Times New Roman" w:cs="Times New Roman" w:eastAsia="Times New Roman"/>
          <w:b w:val="false"/>
          <w:sz w:val="26"/>
        </w:rPr>
        <w:t>Sở GDĐT tổ chức thi và công bố kết quả thi tuyển sinh</w:t>
      </w:r>
    </w:p>
    <w:p>
      <w:pPr>
        <w:spacing w:after="0" w:before="0" w:lineRule="auto" w:line="276"/>
        <w:jc w:val="both"/>
      </w:pPr>
      <w:r>
        <w:rPr>
          <w:rFonts w:ascii="Times New Roman" w:hAnsi="Times New Roman" w:cs="Times New Roman" w:eastAsia="Times New Roman"/>
          <w:b w:val="false"/>
          <w:sz w:val="26"/>
        </w:rPr>
        <w:t>Sở GDĐT phê duyệt kết quả tuyển sinh của từng Hội đồng tuyển sinh</w:t>
      </w:r>
    </w:p>
    <w:p>
      <w:pPr>
        <w:spacing w:after="0" w:before="0" w:lineRule="auto" w:line="276"/>
        <w:jc w:val="both"/>
      </w:pPr>
      <w:r>
        <w:rPr>
          <w:rFonts w:ascii="Times New Roman" w:hAnsi="Times New Roman" w:cs="Times New Roman" w:eastAsia="Times New Roman"/>
          <w:b w:val="false"/>
          <w:sz w:val="26"/>
        </w:rPr>
        <w:t>Hội đồng tuyển sinh công bố danh sách trúng tuyển vào lớp 10 trung học phổ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tuyển sinh vào lớp 10 trung học phổ thông</w:t>
            </w:r>
          </w:p>
        </w:tc>
        <w:tc>
          <w:p/>
          <w:p>
            <w:pPr>
              <w:spacing w:after="0" w:before="0" w:lineRule="auto" w:line="276"/>
              <w:jc w:val="left"/>
            </w:pPr>
            <w:r>
              <w:rPr>
                <w:rFonts w:ascii="Times New Roman" w:hAnsi="Times New Roman" w:cs="Times New Roman" w:eastAsia="Times New Roman"/>
                <w:b w:val="false"/>
                <w:sz w:val="26"/>
              </w:rPr>
              <w:t>Mẫu đơn tuyển sinh vào lớp 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Học bạ cấp trung học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trung học cơ sở hoặc giấy chứng nhận tốt nghiệp THCS tạm thời hoặc bản sao bằng tốt nghiệp THCS</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chế độ ưu tiên, khuyến khích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do ủy ban nhân dân xã, phường, thị trấn cấp (đối với người học đã tốt nghiệp từ những năm trước) không trong thời gian thi hành án; cải tạo không giam giữ hoặc vi phạm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TP. Hải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Thí sinh nộp hồ sơ tại đơn vị thí sinh đã tốt nghiệp THCS.</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học sinh trúng tuyển vào lớp 10 trường THPT.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11/2014/TT-BGDĐT</w:t>
            </w:r>
          </w:p>
        </w:tc>
        <w:tc>
          <w:p/>
          <w:p>
            <w:pPr>
              <w:spacing w:after="0" w:before="0" w:lineRule="auto" w:line="276"/>
              <w:jc w:val="left"/>
            </w:pPr>
            <w:r>
              <w:rPr>
                <w:rFonts w:ascii="Times New Roman" w:hAnsi="Times New Roman" w:cs="Times New Roman" w:eastAsia="Times New Roman"/>
                <w:b w:val="false"/>
                <w:sz w:val="26"/>
              </w:rPr>
              <w:t>Thông tư 11/2014/TT-BGDĐT</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18/2014/TT-BGDĐT</w:t>
            </w:r>
          </w:p>
        </w:tc>
        <w:tc>
          <w:p/>
          <w:p>
            <w:pPr>
              <w:spacing w:after="0" w:before="0" w:lineRule="auto" w:line="276"/>
              <w:jc w:val="left"/>
            </w:pPr>
            <w:r>
              <w:rPr>
                <w:rFonts w:ascii="Times New Roman" w:hAnsi="Times New Roman" w:cs="Times New Roman" w:eastAsia="Times New Roman"/>
                <w:b w:val="false"/>
                <w:sz w:val="26"/>
              </w:rPr>
              <w:t>Thông tư 18/2014/TT-BGDĐT</w:t>
            </w:r>
          </w:p>
        </w:tc>
        <w:tc>
          <w:p/>
          <w:p>
            <w:pPr>
              <w:spacing w:after="0" w:before="0" w:lineRule="auto" w:line="276"/>
              <w:jc w:val="left"/>
            </w:pPr>
            <w:r>
              <w:rPr>
                <w:rFonts w:ascii="Times New Roman" w:hAnsi="Times New Roman" w:cs="Times New Roman" w:eastAsia="Times New Roman"/>
                <w:b w:val="false"/>
                <w:sz w:val="26"/>
              </w:rPr>
              <w:t>26-05-2014</w:t>
            </w:r>
          </w:p>
        </w:tc>
        <w:tc>
          <w:p/>
        </w:tc>
      </w:tr>
      <w:tr>
        <w:tc>
          <w:p/>
          <w:p>
            <w:pPr>
              <w:spacing w:after="0" w:before="0" w:lineRule="auto" w:line="276"/>
              <w:jc w:val="left"/>
            </w:pPr>
            <w:r>
              <w:rPr>
                <w:rFonts w:ascii="Times New Roman" w:hAnsi="Times New Roman" w:cs="Times New Roman" w:eastAsia="Times New Roman"/>
                <w:b w:val="false"/>
                <w:sz w:val="26"/>
              </w:rPr>
              <w:t>05/2018/TT-BGDĐT</w:t>
            </w:r>
          </w:p>
        </w:tc>
        <w:tc>
          <w:p/>
          <w:p>
            <w:pPr>
              <w:spacing w:after="0" w:before="0" w:lineRule="auto" w:line="276"/>
              <w:jc w:val="left"/>
            </w:pPr>
            <w:r>
              <w:rPr>
                <w:rFonts w:ascii="Times New Roman" w:hAnsi="Times New Roman" w:cs="Times New Roman" w:eastAsia="Times New Roman"/>
                <w:b w:val="false"/>
                <w:sz w:val="26"/>
              </w:rPr>
              <w:t>Thông tư 05/2018/TT-BGDĐT</w:t>
            </w:r>
          </w:p>
        </w:tc>
        <w:tc>
          <w:p/>
          <w:p>
            <w:pPr>
              <w:spacing w:after="0" w:before="0" w:lineRule="auto" w:line="276"/>
              <w:jc w:val="left"/>
            </w:pPr>
            <w:r>
              <w:rPr>
                <w:rFonts w:ascii="Times New Roman" w:hAnsi="Times New Roman" w:cs="Times New Roman" w:eastAsia="Times New Roman"/>
                <w:b w:val="false"/>
                <w:sz w:val="26"/>
              </w:rPr>
              <w:t>28-02-2018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đối tượng đăng ký tuyển sinh nộp đầy đủ các giấy tờ, đúng thủ tục, đúng thời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Tuyển sinh THPT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2026-05-19T12:36:15Z</dcterms:created>
  <dc:creator>Apache POI</dc:creator>
</cp:coreProperties>
</file>