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3.000154.000.00.00.H18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hải quan đối với gỗ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Thực hiện theo thủ tục hành chính ban hành kèm theo Quyết định số 2770/QĐ-BTC ngày 25/12/2015 của Bộ Tài chính về việc công bố thủ tục hành chính mới/thủ tục hành chính thay thế/thủ tục hành chính bãi bỏ/thủ tục hành chính giữ nguyên trong lĩnh vực Hải quan thuộc phạm vi chức năng quản lý Nhà nước của Bộ Tài chính (mã hồ sơ thủ tục hành chính số 1.006440 được công khai trên Cổng dịch vụ công quốc gia).</w:t>
      </w:r>
    </w:p>
    <w:p>
      <w:pPr>
        <w:spacing w:after="0" w:before="0" w:lineRule="auto" w:line="276"/>
        <w:jc w:val="both"/>
      </w:pPr>
      <w:r>
        <w:rPr>
          <w:rFonts w:ascii="Times New Roman" w:hAnsi="Times New Roman" w:cs="Times New Roman" w:eastAsia="Times New Roman"/>
          <w:b w:val="false"/>
          <w:sz w:val="26"/>
        </w:rPr>
        <w:t>- Bước 2: Sau khi hoàn thành thủ tục thông quan, cơ quan Hải quan cửa khẩu nơi thông quan xác nhận nội dung chủ gỗ đã kê khai.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hoàn thành thủ tục thông quan </w:t>
            </w:r>
          </w:p>
        </w:tc>
        <w:tc>
          <w:p/>
          <w:p>
            <w:pPr>
              <w:spacing w:after="0" w:before="0" w:lineRule="auto" w:line="276"/>
              <w:jc w:val="left"/>
            </w:pPr>
            <w:r>
              <w:rPr>
                <w:rFonts w:ascii="Times New Roman" w:hAnsi="Times New Roman" w:cs="Times New Roman" w:eastAsia="Times New Roman"/>
                <w:b w:val="false"/>
                <w:sz w:val="26"/>
              </w:rPr>
              <w:t>Phí : 20.000 Đồng</w:t>
              <w:t xml:space="preserve"> (20.000 đồng/ tờ khai)</w:t>
            </w:r>
          </w:p>
        </w:tc>
        <w:tc>
          <w:p/>
          <w:p>
            <w:pPr>
              <w:spacing w:after="0" w:before="0" w:lineRule="auto" w:line="276"/>
              <w:jc w:val="left"/>
            </w:pPr>
            <w:r>
              <w:rPr>
                <w:rFonts w:ascii="Times New Roman" w:hAnsi="Times New Roman" w:cs="Times New Roman" w:eastAsia="Times New Roman"/>
                <w:b w:val="false"/>
                <w:sz w:val="26"/>
              </w:rPr>
              <w:t>Ngay sau khi hoàn thành thủ tục thông quan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sau khi hoàn thành thủ tục thông quan </w:t>
            </w:r>
          </w:p>
        </w:tc>
        <w:tc>
          <w:p/>
          <w:p>
            <w:pPr>
              <w:spacing w:after="0" w:before="0" w:lineRule="auto" w:line="276"/>
              <w:jc w:val="left"/>
            </w:pPr>
            <w:r>
              <w:rPr>
                <w:rFonts w:ascii="Times New Roman" w:hAnsi="Times New Roman" w:cs="Times New Roman" w:eastAsia="Times New Roman"/>
                <w:b w:val="false"/>
                <w:sz w:val="26"/>
              </w:rPr>
              <w:t>Phí : 20.000 Đồng</w:t>
              <w:t xml:space="preserve"> (20.000 đồng/ tờ khai)</w:t>
            </w:r>
          </w:p>
        </w:tc>
        <w:tc>
          <w:p/>
          <w:p>
            <w:pPr>
              <w:spacing w:after="0" w:before="0" w:lineRule="auto" w:line="276"/>
              <w:jc w:val="left"/>
            </w:pPr>
            <w:r>
              <w:rPr>
                <w:rFonts w:ascii="Times New Roman" w:hAnsi="Times New Roman" w:cs="Times New Roman" w:eastAsia="Times New Roman"/>
                <w:b w:val="false"/>
                <w:sz w:val="26"/>
              </w:rPr>
              <w:t>Ngay sau khi hoàn thành thủ tục thông quan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sau khi hoàn thành thủ tục thông quan </w:t>
            </w:r>
          </w:p>
        </w:tc>
        <w:tc>
          <w:p/>
          <w:p>
            <w:pPr>
              <w:spacing w:after="0" w:before="0" w:lineRule="auto" w:line="276"/>
              <w:jc w:val="left"/>
            </w:pPr>
            <w:r>
              <w:rPr>
                <w:rFonts w:ascii="Times New Roman" w:hAnsi="Times New Roman" w:cs="Times New Roman" w:eastAsia="Times New Roman"/>
                <w:b w:val="false"/>
                <w:sz w:val="26"/>
              </w:rPr>
              <w:t xml:space="preserve">Phí : 20.000 đồng </w:t>
              <w:t xml:space="preserve"> (20.000 đồng/ tờ khai)</w:t>
            </w:r>
          </w:p>
        </w:tc>
        <w:tc>
          <w:p/>
          <w:p>
            <w:pPr>
              <w:spacing w:after="0" w:before="0" w:lineRule="auto" w:line="276"/>
              <w:jc w:val="left"/>
            </w:pPr>
            <w:r>
              <w:rPr>
                <w:rFonts w:ascii="Times New Roman" w:hAnsi="Times New Roman" w:cs="Times New Roman" w:eastAsia="Times New Roman"/>
                <w:b w:val="false"/>
                <w:sz w:val="26"/>
              </w:rPr>
              <w:t>Ngay sau khi hoàn thành thủ tục thông quan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Thực hiện theo Quyết định số 2770/QĐ-BTC ngày 25/12/2015 của Bộ Tài chính về việc công bố thủ tục hành chính mới/thủ tục hành chính thay thế/thủ tục hành chính bãi bỏ/thủ tục hành chính giữ nguyên trong lĩnh vực Hải quan thuộc phạm vi chức năng quản lý Nhà nước của Bộ Tài chính (mã hồ sơ thủ tục hành chính số 1.007859 được công khai trên Cổng dịch vụ công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chính Bảng kê gỗ nhập khẩu theo Mẫu số 01 tại Phụ lục I ban hành kèm theo Nghị định số 120/2024/NĐ-CP.</w:t>
            </w:r>
          </w:p>
        </w:tc>
        <w:tc>
          <w:p/>
          <w:p>
            <w:pPr>
              <w:spacing w:after="0" w:before="0" w:lineRule="auto" w:line="276"/>
              <w:jc w:val="left"/>
            </w:pPr>
            <w:r>
              <w:rPr>
                <w:rFonts w:ascii="Times New Roman" w:hAnsi="Times New Roman" w:cs="Times New Roman" w:eastAsia="Times New Roman"/>
                <w:b w:val="false"/>
                <w:sz w:val="26"/>
              </w:rPr>
              <w:t>Mẫu số 01.NĐ120.2024.doc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Một trong các tài liệu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c.1) Trường hợp gỗ thuộc Phụ lục CITES: Bản sao giấy phép CITES xuất khẩu hoặc tái xuất khẩu do Cơ quan thẩm quyền quản lý CITES nước xuất khẩu hoặc nước tái xuất khẩu cấp; Bản sao giấy phép CITES nhập khẩu do Cơ quan thẩm quyền quản lý CITES Việt Nam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c.2) Trường hợp gỗ nhập khẩu từ quốc gia đã ký kết Hiệp định gỗ hợp pháp với EU và đang vận hành hệ thống cấp phép FLEGT: Bản sao giấy phép FLEGT xuất khẩu do cơ quan có thẩm quyền nước xuất khẩu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cục Hải quan cửa khẩu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Chi cục Hải quan thông quan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102/2020/NĐ-CP</w:t>
            </w:r>
          </w:p>
        </w:tc>
        <w:tc>
          <w:p/>
          <w:p>
            <w:pPr>
              <w:spacing w:after="0" w:before="0" w:lineRule="auto" w:line="276"/>
              <w:jc w:val="left"/>
            </w:pPr>
            <w:r>
              <w:rPr>
                <w:rFonts w:ascii="Times New Roman" w:hAnsi="Times New Roman" w:cs="Times New Roman" w:eastAsia="Times New Roman"/>
                <w:b w:val="false"/>
                <w:sz w:val="26"/>
              </w:rPr>
              <w:t>Nghị định 102/2020/NĐ-CP</w:t>
            </w:r>
          </w:p>
        </w:tc>
        <w:tc>
          <w:p/>
          <w:p>
            <w:pPr>
              <w:spacing w:after="0" w:before="0" w:lineRule="auto" w:line="276"/>
              <w:jc w:val="left"/>
            </w:pPr>
            <w:r>
              <w:rPr>
                <w:rFonts w:ascii="Times New Roman" w:hAnsi="Times New Roman" w:cs="Times New Roman" w:eastAsia="Times New Roman"/>
                <w:b w:val="false"/>
                <w:sz w:val="26"/>
              </w:rPr>
              <w:t>01-09-2020</w:t>
            </w:r>
          </w:p>
        </w:tc>
        <w:tc>
          <w:p/>
        </w:tc>
      </w:tr>
      <w:tr>
        <w:tc>
          <w:p/>
          <w:p>
            <w:pPr>
              <w:spacing w:after="0" w:before="0" w:lineRule="auto" w:line="276"/>
              <w:jc w:val="left"/>
            </w:pPr>
            <w:r>
              <w:rPr>
                <w:rFonts w:ascii="Times New Roman" w:hAnsi="Times New Roman" w:cs="Times New Roman" w:eastAsia="Times New Roman"/>
                <w:b w:val="false"/>
                <w:sz w:val="26"/>
              </w:rPr>
              <w:t>14/2021/TT-BTC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hải quan và lệ phí hàng hóa, phương tiện vận tải quá cảnh</w:t>
            </w:r>
          </w:p>
        </w:tc>
        <w:tc>
          <w:p/>
          <w:p>
            <w:pPr>
              <w:spacing w:after="0" w:before="0" w:lineRule="auto" w:line="276"/>
              <w:jc w:val="left"/>
            </w:pPr>
            <w:r>
              <w:rPr>
                <w:rFonts w:ascii="Times New Roman" w:hAnsi="Times New Roman" w:cs="Times New Roman" w:eastAsia="Times New Roman"/>
                <w:b w:val="false"/>
                <w:sz w:val="26"/>
              </w:rPr>
              <w:t>18-02-2021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120/2024/NĐ-CP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102/2020/NĐ-CP ngày 01 tháng 9 năm 2020 của Chính phủ quy định Hệ thống bảo đảm gỗ hợp pháp Việt Nam.</w:t>
            </w:r>
          </w:p>
        </w:tc>
        <w:tc>
          <w:p/>
          <w:p>
            <w:pPr>
              <w:spacing w:after="0" w:before="0" w:lineRule="auto" w:line="276"/>
              <w:jc w:val="left"/>
            </w:pPr>
            <w:r>
              <w:rPr>
                <w:rFonts w:ascii="Times New Roman" w:hAnsi="Times New Roman" w:cs="Times New Roman" w:eastAsia="Times New Roman"/>
                <w:b w:val="false"/>
                <w:sz w:val="26"/>
              </w:rPr>
              <w:t>30-09-2024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 Quyết định số 2770/QĐ-BTC ngày 25/12/2015 của Bộ Tài chính về việc công bố thủ tục hành chính mới/thủ tục hành chính thay thế/thủ tục hành chính bãi bỏ/thủ tục hành chính giữ nguyên trong lĩnh vực Hải quan thuộc phạm vi chức năng quản lý Nhà nước của Bộ Tài chính (mã hồ sơ thủ tục hành chính số 1.006440 được công khai trên Cổng dịch vụ công quốc gia).
- Nghị định số 102/2020/NĐ-CP ngày 01/9/2020 của Chính phủ Quy định Hệ thống bảo đảm gỗ hợp pháp Việt Nam.</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2026-04-29T23:17:05Z</dcterms:created>
  <dc:creator>Apache POI</dc:creator>
</cp:coreProperties>
</file>