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1.009979.000.00.00.H56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đặc biệt, cấp I, cấp II (công trình Không theo tuyến/Theo tuyến trong đô thị/Tín ngưỡng, tôn giáo/Tượng đài, tranh hoành tráng/Sửa chữa, cải tạo/Theo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 Bộ phận tiếp nhận và trả kết quả của Sở Xây dựng tại Trung tâm Phục vụ hành chính công tỉnh Thanh Hóa (số 28, Đại lộ Lê Lợi, phường Điện Biên, thành phố Thanh Hóa, tỉnh Thanh Hóa).
Hoặc Bộ phận tiếp nhận  và trả kết quả của Ban quản lý Khu kinh tế Nghi Sơn và các Khu công nghiệp tỉnh Thanh Hóa (phường Trúc Lâm, thị xã Nghi Sơn, tỉnh Thanh Hóa): Đối với các công trình được giao quản lý.</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cơ quan có thẩm quyền cấp phép xây dựng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 Tổ chức, cá nhân khi thực hiện thủ tục hành chính thông qua dịch vụ công trực tuyến theo quy định của Nhà nước được giảm hoặc giảm thêm (trong trường hợp đã được giảm theo quy định này) 30% mức lệ phí, phí đến hết ngày 31/12/2025.)</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 Tổ chức, cá nhân khi thực hiện thủ tục hành chính thông qua dịch vụ công trực tuyến theo quy định của Nhà nước được giảm hoặc giảm thêm (trong trường hợp đã được giảm theo quy định này) 30% mức lệ phí, phí đến hết ngày 31/12/2025.)</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
-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 Tổ chức, cá nhân khi thực hiện thủ tục hành chính thông qua dịch vụ công trực tuyến theo quy định của Nhà nước được giảm hoặc giảm thêm (trong trường hợp đã được giảm theo quy định này) 30% mức lệ phí, phí đến hết ngày 31/12/2025.)</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giấy phép xây dựng đã được cấp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đề nghị cấp lại giấy phép xây dựng, trong đó giải trình rõ lý do đề nghị cấp lại theo Mẫu số 2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dieu chinh, gia han, cap lai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Thanh Hóa, Ban quản lý KKT Nghi Sơn và các khu công nghiệp tỉnh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Thanh Hóa, Ban quản lý KKT Nghi Sơn và các khu công nghiệp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Xây dựng tại Trung tâm Phục vụ hành chính công tỉnh Thanh Hóa (số 28, Đại lộ Lê Lợi, phường Điện Biên, thành phố Thanh Hóa, tỉnh Thanh Hóa). - Bộ phận tiếp nhận  và trả kết quả của Ban quản lý Khu kinh tế Nghi Sơn và các Khu công nghiệp tỉnh Thanh Hóa (phường Trúc Lâm, thị xã Nghi Sơn, tỉnh Thanh Hóa): Đối với các công trình được giao quản lý.;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XD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09/2021/QĐ-UBND</w:t>
            </w:r>
          </w:p>
        </w:tc>
        <w:tc>
          <w:p/>
          <w:p>
            <w:pPr>
              <w:spacing w:after="0" w:before="0" w:lineRule="auto" w:line="276"/>
              <w:jc w:val="left"/>
            </w:pPr>
            <w:r>
              <w:rPr>
                <w:rFonts w:ascii="Times New Roman" w:hAnsi="Times New Roman" w:cs="Times New Roman" w:eastAsia="Times New Roman"/>
                <w:b w:val="false"/>
                <w:sz w:val="26"/>
              </w:rPr>
              <w:t>về việc ủy quyền cấp giấy phép xây dựng và quy định quy mô công trình được cấp giấy phép xây dựng có thời hạn trên địa bàn tỉnh Thanh Hóa</w:t>
            </w:r>
          </w:p>
        </w:tc>
        <w:tc>
          <w:p/>
          <w:p>
            <w:pPr>
              <w:spacing w:after="0" w:before="0" w:lineRule="auto" w:line="276"/>
              <w:jc w:val="left"/>
            </w:pPr>
            <w:r>
              <w:rPr>
                <w:rFonts w:ascii="Times New Roman" w:hAnsi="Times New Roman" w:cs="Times New Roman" w:eastAsia="Times New Roman"/>
                <w:b w:val="false"/>
                <w:sz w:val="26"/>
              </w:rPr>
              <w:t>21-05-2021</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55/2022/QĐ-UBND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09/2021/QĐ-UBND ngày 21/5/2021 của UBND tỉnh</w:t>
            </w:r>
          </w:p>
        </w:tc>
        <w:tc>
          <w:p/>
          <w:p>
            <w:pPr>
              <w:spacing w:after="0" w:before="0" w:lineRule="auto" w:line="276"/>
              <w:jc w:val="left"/>
            </w:pPr>
            <w:r>
              <w:rPr>
                <w:rFonts w:ascii="Times New Roman" w:hAnsi="Times New Roman" w:cs="Times New Roman" w:eastAsia="Times New Roman"/>
                <w:b w:val="false"/>
                <w:sz w:val="26"/>
              </w:rPr>
              <w:t>23-11-2022</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2026-05-01T20:40:08Z</dcterms:created>
  <dc:creator>Apache POI</dc:creator>
</cp:coreProperties>
</file>