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hoạt động dịch vụ giám định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hoạt động dịch vụ giám định công nghệ chuyên ngành thuộc trách nhiệm quản lý nhà nước của một bộ quản lý ngành, lĩnh vực, doanh nghiệp, tổ chức khoa học và công nghệ nộp hồ sơ đề nghị cấp Giấy chứng nhận đủ điều kiện hoạt động dịch vụ giám định công nghệ đến bộ quản lý ngành, lĩnh vực đó.</w:t>
      </w:r>
    </w:p>
    <w:p>
      <w:pPr>
        <w:spacing w:after="0" w:before="0" w:lineRule="auto" w:line="276"/>
        <w:jc w:val="both"/>
      </w:pPr>
      <w:r>
        <w:rPr>
          <w:rFonts w:ascii="Times New Roman" w:hAnsi="Times New Roman" w:cs="Times New Roman" w:eastAsia="Times New Roman"/>
          <w:b w:val="false"/>
          <w:sz w:val="26"/>
        </w:rPr>
        <w:t>-  Trường hợp đăng ký hoạt động dịch vụ giám định công nghệ thuộc trách nhiệm quản lý nhà nước của từ hai bộ quản lý ngành, lĩnh vực trở lên, doanh nghiệp, tổ chức khoa học và công nghệ nộp hồ sơ đề nghị cấp Giấy chứng nhận đủ điều kiện hoạt động dịch vụ giám định công nghệ đến Bộ Khoa học và Công nghệ.</w:t>
      </w:r>
    </w:p>
    <w:p>
      <w:pPr>
        <w:spacing w:after="0" w:before="0" w:lineRule="auto" w:line="276"/>
        <w:jc w:val="both"/>
      </w:pPr>
      <w:r>
        <w:rPr>
          <w:rFonts w:ascii="Times New Roman" w:hAnsi="Times New Roman" w:cs="Times New Roman" w:eastAsia="Times New Roman"/>
          <w:b w:val="false"/>
          <w:sz w:val="26"/>
        </w:rPr>
        <w:t>- Cơ quan có thẩm quyền cấp Giấy chứng nhận đủ điều kiện hoạt động dịch vụ giám định công nghệ xem xét hồ sơ:</w:t>
      </w:r>
    </w:p>
    <w:p>
      <w:pPr>
        <w:spacing w:after="0" w:before="0" w:lineRule="auto" w:line="276"/>
        <w:jc w:val="both"/>
      </w:pPr>
      <w:r>
        <w:rPr>
          <w:rFonts w:ascii="Times New Roman" w:hAnsi="Times New Roman" w:cs="Times New Roman" w:eastAsia="Times New Roman"/>
          <w:b w:val="false"/>
          <w:sz w:val="26"/>
        </w:rPr>
        <w:t>+ Trường hợp hồ sơ không đầy đủ theo quy định, trong thời hạn 03 ngày làm việc kể từ ngày nhận được hồ sơ, cơ quan có thẩm quyền có trách nhiệm thông báo bằng văn bản đề nghị doanh nghiệp, tổ chức khoa học và công nghệ sửa đổi, bổ sung hồ sơ.</w:t>
      </w:r>
    </w:p>
    <w:p>
      <w:pPr>
        <w:spacing w:after="0" w:before="0" w:lineRule="auto" w:line="276"/>
        <w:jc w:val="both"/>
      </w:pPr>
      <w:r>
        <w:rPr>
          <w:rFonts w:ascii="Times New Roman" w:hAnsi="Times New Roman" w:cs="Times New Roman" w:eastAsia="Times New Roman"/>
          <w:b w:val="false"/>
          <w:sz w:val="26"/>
        </w:rPr>
        <w:t>+ Trường hợp hồ sơ đáp ứng các yêu cầu theo quy định, trong thời hạn 10 ngày làm việc kể từ ngày nhận được hồ sơ, cơ quan có thẩm quyền cấp Giấy chứng nhận đủ điều kiện hoạt động dịch vụ giám định công nghệ cho doanh nghiệp, tổ chức khoa học và công nghệ.</w:t>
      </w:r>
    </w:p>
    <w:p>
      <w:pPr>
        <w:spacing w:after="0" w:before="0" w:lineRule="auto" w:line="276"/>
        <w:jc w:val="both"/>
      </w:pPr>
      <w:r>
        <w:rPr>
          <w:rFonts w:ascii="Times New Roman" w:hAnsi="Times New Roman" w:cs="Times New Roman" w:eastAsia="Times New Roman"/>
          <w:b w:val="false"/>
          <w:sz w:val="26"/>
        </w:rPr>
        <w:t>+ Trường hợp từ chối cấp Giấy chứng nhận đủ điều kiện hoạt động dịch vụ giám định công nghệ, cơ quan có thẩm quyền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có thẩm quyền cấp Giấy chứng nhận đủ điều kiện hoạt động dịch vụ giám định công nghệ. Thời hạn giải quyết sau 10 ngày làm việc kể từ ngày nhận được hồ sơ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Cổng dịch vụ công trực tuyến của Bộ quản lý ngành, lĩnh vực hoặc Bộ Khoa học và Công nghệ (đối với trường hợp thuộc thẩm quyền của Bộ Khoa học và Công nghệ).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điện đến trụ sở cơ quan có thẩm quyền cấp Giấy chứng nhận đủ điều kiện hoạt động dịch vụ giám định công nghệ. Thời hạn giải quyết sau 10 ngày làm việc kể từ ngày nhận được hồ sơ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hoạt động dịch vụ giám định công nghệ</w:t>
            </w:r>
          </w:p>
        </w:tc>
        <w:tc>
          <w:p/>
          <w:p>
            <w:pPr>
              <w:spacing w:after="0" w:before="0" w:lineRule="auto" w:line="276"/>
              <w:jc w:val="left"/>
            </w:pPr>
            <w:r>
              <w:rPr>
                <w:rFonts w:ascii="Times New Roman" w:hAnsi="Times New Roman" w:cs="Times New Roman" w:eastAsia="Times New Roman"/>
                <w:b w:val="false"/>
                <w:sz w:val="26"/>
              </w:rPr>
              <w:t>Mẫu Đơn đề nghị cấp Giấy chứng nhận đủ điều kiện hoạt động giam dinh 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tổ chức, giấy chứng nhận đăng ký doanh nghiệp hoặc giấy chứng nhận đăng ký đầu tư (trường hợp nộp trực tiếp: Nộp bản sao có chứng thực hoặc bản sao kèm theo bản gốc để đối chiếu; trường hợp gửi qua đường bưu điện: Gửi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doanh nghiệp, tổ chức khoa học và công nghệ có hệ thống quản lý và năng lực hoạt động đáp ứng các yêu cầu quy định trong tiêu chuẩn quốc gia TCVN ISO/IEC 17020:2012 hoặc tiêu chuẩn quốc tế ISO/IEC 17020:2012 hoặc tiêu chuẩn quốc gia, tiêu chuẩn quốc tế đối với giám định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các giám định viên công nghệ, kèm theo tài liệu liên quan đối với mỗi giám định viên công nghệ gồm: Bản sao quyết định tuyển dụng hoặc hợp đồng lao động; bản sao chứng thực bằng cấp có chuyên ngành đào tạo phù hợp với lĩnh vực công nghệ cần giám định; bản sao chứng thực chứng chỉ đào tạo về tiêu chuẩn quốc gia TCVN ISO/IEC 17020:2012 hoặc tiêu chuẩn quốc tế ISO/IEC 17020:2012 hoặc tiêu chuẩn quốc gia, tiêu chuẩn quốc tế đối với giám định chuyên ngành</w:t>
            </w:r>
          </w:p>
        </w:tc>
        <w:tc>
          <w:p/>
          <w:p>
            <w:pPr>
              <w:spacing w:after="0" w:before="0" w:lineRule="auto" w:line="276"/>
              <w:jc w:val="left"/>
            </w:pPr>
            <w:r>
              <w:rPr>
                <w:rFonts w:ascii="Times New Roman" w:hAnsi="Times New Roman" w:cs="Times New Roman" w:eastAsia="Times New Roman"/>
                <w:b w:val="false"/>
                <w:sz w:val="26"/>
              </w:rPr>
              <w:t>Mẫu Danh sách chuyên gia giám định công nghệ.docx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tóm tắt kinh nghiệm hoạt động giám định công nghệ và tài liệu chứng minh kinh nghiệm hoạt động giám định công nghệ của giám định viên</w:t>
            </w:r>
          </w:p>
        </w:tc>
        <w:tc>
          <w:p/>
          <w:p>
            <w:pPr>
              <w:spacing w:after="0" w:before="0" w:lineRule="auto" w:line="276"/>
              <w:jc w:val="left"/>
            </w:pPr>
            <w:r>
              <w:rPr>
                <w:rFonts w:ascii="Times New Roman" w:hAnsi="Times New Roman" w:cs="Times New Roman" w:eastAsia="Times New Roman"/>
                <w:b w:val="false"/>
                <w:sz w:val="26"/>
              </w:rPr>
              <w:t>Mẫu Tóm tắt kinh nghiệm hoạt động giám định công nghệ của giám định viên công nghệ.docx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thuyết minh phương pháp, quy trình giám định công nghệ tương ứng với từng lĩnh vực công nghệ cần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chứng thư giám định của doanh nghiệp,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 Bộ quản lý ngành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dịch vụ giám định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07/2017/QH14-Luật chuyển giao công nghệ</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tổ chức khoa học và công nghệ được cấp Giấy chứng nhận đủ điều kiện hoạt động dịch vụ giám định công nghệ khi đáp ứng các điều kiện sau:
- Được thành lập, đăng ký hoạt động theo quy định của pháp luật;
- Có hệ thống quản lý và năng lực hoạt động đáp ứng các yêu cầu quy định trong tiêu chuẩn quốc gia TCVN ISO/IEC 17020:2012 hoặc tiêu chuẩn quốc tế ISO/IEC 17020:2012 hoặc tiêu chuẩn quốc gia, tiêu chuẩn quốc tế đối với giám định chuyên ngành.
- Có ít nhất 02 giám định viên chính thức trong lĩnh vực công nghệ giám định của tổ chức (viên chức hoặc lao động ký hợp đồng có thời hạn từ 12 tháng trở lên hoặc lao động ký hợp đồng không xác định thời hạn), đáp ứng điều kiện:
+ Tốt nghiệp đại học trở lên với chuyên ngành đào tạo phù hợp với lĩnh vực công nghệ cần giám định;
+ Được đào tạo về tiêu chuẩn quốc gia TCVN ISO/IEC 17020:2012 hoặc tiêu chuẩn quốc tế ISO/IEC 17020:2012 hoặc tiêu chuẩn quốc gia, tiêu chuẩn quốc tế đối với giám định chuyên ngành;
+ Có kinh nghiệm làm việc từ 03 năm trở lên trong lĩnh vực công nghệ cần giám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đủ điều kiện hoạt động dịch vụ giám định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2026-05-20T04:56:19Z</dcterms:created>
  <dc:creator>Apache POI</dc:creator>
</cp:coreProperties>
</file>