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đóng luồng đường thủy nội địa khi không có nhu cầu khai thác, sử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có luồng không có nhu cầu khai thác, sử dụng nộp hồ sơ đến Cục Hàng hải và Đường thủy Việt Nam (đối với luồng quốc gia, luồng chuyên dùng nối với luồng quốc gia) hoặc Sở Xây dựng, Sở Giao thông công chánh TP Hồ Chí Minh (đối với luồng địa phương, luồng chuyên dùng nối với luồng địa phương).
b) Giải quyết TTHC:
- Trong thời hạn 10 ngày làm việc, kể từ ngày nhận đủ hồ sơ theo quy định, Cục Hàng hải và Đường thủy Việt Nam thẩm định hồ sơ, nếu đủ điều kiện thì báo cáo Bộ Xây dựng; Sở Xây dựng, Sở Giao thông công chánh TP Hồ Chí Minh thẩm định hồ sơ, nếu đủ điều kiện thì báo cáo Ủy ban nhân dân cấp tỉnh;
- Trong thời hạn 10 ngày làm việc, kể từ ngày nhận đủ hồ sơ và báo cáo của Cục Hàng hải và Đường thủy Việt Nam, Sở Xây dựng, Sở Giao thông công chánh TP Hồ Chí Minh thì Bộ Xây dựng, Ủy ban nhân dân cấp tỉnh ban hành quyết định công bố đóng luồng theo phạm vi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Chi phí liên quan khi đóng luồng chuyên dùng do tổ chức, cá nhân có luồng chuyên dùng chi trả, trừ trường hợp đóng luồng vì lý do bảo đảm quốc phòng, an ninh do cơ quan đề nghị đóng luồng chi trả. Đồng</w:t>
            </w:r>
          </w:p>
        </w:tc>
        <w:tc>
          <w:p/>
          <w:p>
            <w:pPr>
              <w:spacing w:after="0" w:before="0" w:lineRule="auto" w:line="276"/>
              <w:jc w:val="left"/>
            </w:pPr>
            <w:r>
              <w:rPr>
                <w:rFonts w:ascii="Times New Roman" w:hAnsi="Times New Roman" w:cs="Times New Roman" w:eastAsia="Times New Roman"/>
                <w:b w:val="false"/>
                <w:sz w:val="26"/>
              </w:rPr>
              <w:t>Trong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Chi phí liên quan khi đóng luồng chuyên dùng do tổ chức, cá nhân có luồng chuyên dùng chi trả, trừ trường hợp đóng luồng vì lý do bảo đảm quốc phòng, an ninh do cơ quan đề nghị đóng luồng chi trả. Đồng</w:t>
            </w:r>
          </w:p>
        </w:tc>
        <w:tc>
          <w:p/>
          <w:p>
            <w:pPr>
              <w:spacing w:after="0" w:before="0" w:lineRule="auto" w:line="276"/>
              <w:jc w:val="left"/>
            </w:pPr>
            <w:r>
              <w:rPr>
                <w:rFonts w:ascii="Times New Roman" w:hAnsi="Times New Roman" w:cs="Times New Roman" w:eastAsia="Times New Roman"/>
                <w:b w:val="false"/>
                <w:sz w:val="26"/>
              </w:rPr>
              <w:t>Trong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Chi phí liên quan khi đóng luồng chuyên dùng do tổ chức, cá nhân có luồng chuyên dùng chi trả, trừ trường hợp đóng luồng vì lý do bảo đảm quốc phòng, an ninh do cơ quan đề nghị đóng luồng chi trả. Đồng</w:t>
            </w:r>
          </w:p>
        </w:tc>
        <w:tc>
          <w:p/>
          <w:p>
            <w:pPr>
              <w:spacing w:after="0" w:before="0" w:lineRule="auto" w:line="276"/>
              <w:jc w:val="left"/>
            </w:pPr>
            <w:r>
              <w:rPr>
                <w:rFonts w:ascii="Times New Roman" w:hAnsi="Times New Roman" w:cs="Times New Roman" w:eastAsia="Times New Roman"/>
                <w:b w:val="false"/>
                <w:sz w:val="26"/>
              </w:rPr>
              <w:t>Trong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đóng luồng đường thủy nội địa theo mẫu;</w:t>
            </w:r>
          </w:p>
        </w:tc>
        <w:tc>
          <w:p/>
          <w:p>
            <w:pPr>
              <w:spacing w:after="0" w:before="0" w:lineRule="auto" w:line="276"/>
              <w:jc w:val="left"/>
            </w:pPr>
            <w:r>
              <w:rPr>
                <w:rFonts w:ascii="Times New Roman" w:hAnsi="Times New Roman" w:cs="Times New Roman" w:eastAsia="Times New Roman"/>
                <w:b w:val="false"/>
                <w:sz w:val="26"/>
              </w:rPr>
              <w: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thu hồi báo hiệu đường thủy nội địa do cơ quan, tổ chức, cá nhân quản lý luồng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công bố đóng luồng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2026-04-30T13:33:00Z</dcterms:created>
  <dc:creator>Apache POI</dc:creator>
</cp:coreProperties>
</file>