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đăng ký thay đổi giao dịch ngoại hối liên quan đến hoạt động đầu tư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gửi 01 (một) bộ hồ sơ đăng ký thay đổi giao dịch ngoại hối liên quan đến hoạt động đầu tư ra nước ngoài đến Ngân hàng Nhà nước hoặc Ngân hàng nhà nước chi nhánh Khu vực nơi xác nhận đăng ký giao dịch ngoại hối hoặc nơi xác nhận đăng ký thay đổi giao dịch ngoại hối lần gần nhất đối với trường hợp đã đăng ký thay đổi.</w:t>
      </w:r>
    </w:p>
    <w:p>
      <w:pPr>
        <w:spacing w:after="0" w:before="0" w:lineRule="auto" w:line="276"/>
        <w:jc w:val="both"/>
      </w:pPr>
      <w:r>
        <w:rPr>
          <w:rFonts w:ascii="Times New Roman" w:hAnsi="Times New Roman" w:cs="Times New Roman" w:eastAsia="Times New Roman"/>
          <w:b w:val="false"/>
          <w:sz w:val="26"/>
        </w:rPr>
        <w:t>Bước 2: Thời hạn kiểm tra tính đầy đủ của hồ sơ là 03 (ba) ngày làm việc kể từ khi Hệ thống thông tin giải quyết thủ tục hành chính Ngân hàng Nhà nước hoặc Ngân hàng Nhà nước chi nhánh Khu vực tiếp nhận hồ sơ theo phương thức trực tuyến hoặc kể từ khi Bộ phận Một cửa của Ngân hàng Nhà nước hoặc Ngân hàng Nhà nước chi nhánh Khu vực tiếp nhận hồ sơ theo phương thức trực tiếp hoặc qua dịch vụ bưu chính</w:t>
      </w:r>
    </w:p>
    <w:p>
      <w:pPr>
        <w:spacing w:after="0" w:before="0" w:lineRule="auto" w:line="276"/>
        <w:jc w:val="both"/>
      </w:pPr>
      <w:r>
        <w:rPr>
          <w:rFonts w:ascii="Times New Roman" w:hAnsi="Times New Roman" w:cs="Times New Roman" w:eastAsia="Times New Roman"/>
          <w:b w:val="false"/>
          <w:sz w:val="26"/>
        </w:rPr>
        <w:t>Bước 3: Trong thời hạn 07 (bảy) ngày làm việc kể từ ngày nhận được hồ sơ đầy đủ, hợp lệ, Ngân hàng Nhà nước hoặc Ngân hàng Nhà nước Chi nhánh Khu vực gửi cho nhà đầu tư văn bản xác nhận hoặc từ chối xác nhận đăng ký thay đổi giao dịch ngoại hối liên quan đến hoạt động đầu tư ra nước ngoài. Trường hợp từ chối xác nhận đăng ký thay đổi, Ngân hàng Nhà nước hoặc Ngân hàng Nhà nước Chi nhánh Khu vực có văn bản nêu rõ lý do.
		Trường hợp hồ sơ chưa đủ điều kiện giải quyết, trong thời hạn 05 (năm) ngày làm việc kể từ ngày tiếp nhận hồ sơ, Ngân hàng Nhà nước hoặc Ngân hàng Nhà nước Chi nhánh Khu vực có văn bản yêu cầu nhà đầu tư bổ sung, hoàn thiện hồ sơ. Thời hạn giải quyết được tính lại từ đầu sau khi nhận đủ hồ sơ. Sau 60 ngày kể từ khi thông báo, nếu nhà đầu tư không hoàn thành việc hoàn thiện hồ sơ, Ngân hàng Nhà nước thực hiện đóng hồ sơ đề nghị xác nhận đăng ký thay đổi giao dịch ngoại hối liên quan đến hoạt động đầu tư ra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thay đổi giao dịch ngoại hối liên quan đến hoạt động đầu tư ra nước ngoài theo Phụ lục số 02 ban hành kèm Thông tư 12;</w:t>
            </w:r>
          </w:p>
        </w:tc>
        <w:tc>
          <w:p/>
          <w:p>
            <w:pPr>
              <w:spacing w:after="0" w:before="0" w:lineRule="auto" w:line="276"/>
              <w:jc w:val="left"/>
            </w:pPr>
            <w:r>
              <w:rPr>
                <w:rFonts w:ascii="Times New Roman" w:hAnsi="Times New Roman" w:cs="Times New Roman" w:eastAsia="Times New Roman"/>
                <w:b w:val="false"/>
                <w:sz w:val="26"/>
              </w:rPr>
              <w:t>PHLC02TT12.docx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xác nhận của Tổ chức tín dụng được phép nơi nhà đầu tư đang mở tài khoản vốn đầu tư về số dư trên tài khoản này; số tiền đã chuyển ra nước ngoài và số tiền đã chuyển về Việt Nam đến thời điểm phát sinh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đầu tư ra nước ngoài đã được điều chỉnh do cơ quan có thẩm quyền của Việt Nam cấp (áp dụng đối với các trường hợp thay đổi quy định tại điểm a, điểm c Khoản 1 Điều 11 Thông tư 12/2016/TT-NHNN).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thay đổi giao dịch ngoại hối liên quan đến hoạt động đầu tư ra nước ngoài đối với nhà đầu tư không phải là Tổ chức tín dụng, Văn bản từ chối xác nhận đăng ký thay đổi giao dịch ngoại hối liên quan đến hoạt động đầu tư ra nước ngoài đối với nhà đầu tư không phải là Tổ chức tín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12/2016/TT-NHNN</w:t>
            </w:r>
          </w:p>
        </w:tc>
        <w:tc>
          <w:p/>
          <w:p>
            <w:pPr>
              <w:spacing w:after="0" w:before="0" w:lineRule="auto" w:line="276"/>
              <w:jc w:val="left"/>
            </w:pPr>
            <w:r>
              <w:rPr>
                <w:rFonts w:ascii="Times New Roman" w:hAnsi="Times New Roman" w:cs="Times New Roman" w:eastAsia="Times New Roman"/>
                <w:b w:val="false"/>
                <w:sz w:val="26"/>
              </w:rPr>
              <w:t>Thông tư 12/2016/TT-NHNN</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06/2013/UBTVQH13</w:t>
            </w:r>
          </w:p>
        </w:tc>
        <w:tc>
          <w:p/>
          <w:p>
            <w:pPr>
              <w:spacing w:after="0" w:before="0" w:lineRule="auto" w:line="276"/>
              <w:jc w:val="left"/>
            </w:pPr>
            <w:r>
              <w:rPr>
                <w:rFonts w:ascii="Times New Roman" w:hAnsi="Times New Roman" w:cs="Times New Roman" w:eastAsia="Times New Roman"/>
                <w:b w:val="false"/>
                <w:sz w:val="26"/>
              </w:rPr>
              <w:t>Pháp lệnh 06/2013/UBTVQH13</w:t>
            </w:r>
          </w:p>
        </w:tc>
        <w:tc>
          <w:p/>
          <w:p>
            <w:pPr>
              <w:spacing w:after="0" w:before="0" w:lineRule="auto" w:line="276"/>
              <w:jc w:val="left"/>
            </w:pPr>
            <w:r>
              <w:rPr>
                <w:rFonts w:ascii="Times New Roman" w:hAnsi="Times New Roman" w:cs="Times New Roman" w:eastAsia="Times New Roman"/>
                <w:b w:val="false"/>
                <w:sz w:val="26"/>
              </w:rPr>
              <w:t>19-03-2013</w:t>
            </w:r>
          </w:p>
        </w:tc>
        <w:tc>
          <w:p/>
        </w:tc>
      </w:tr>
      <w:tr>
        <w:tc>
          <w:p/>
          <w:p>
            <w:pPr>
              <w:spacing w:after="0" w:before="0" w:lineRule="auto" w:line="276"/>
              <w:jc w:val="left"/>
            </w:pPr>
            <w:r>
              <w:rPr>
                <w:rFonts w:ascii="Times New Roman" w:hAnsi="Times New Roman" w:cs="Times New Roman" w:eastAsia="Times New Roman"/>
                <w:b w:val="false"/>
                <w:sz w:val="26"/>
              </w:rPr>
              <w:t>24/2022/TT-NHNN</w:t>
            </w:r>
          </w:p>
        </w:tc>
        <w:tc>
          <w:p/>
          <w:p>
            <w:pPr>
              <w:spacing w:after="0" w:before="0" w:lineRule="auto" w:line="276"/>
              <w:jc w:val="left"/>
            </w:pPr>
            <w:r>
              <w:rPr>
                <w:rFonts w:ascii="Times New Roman" w:hAnsi="Times New Roman" w:cs="Times New Roman" w:eastAsia="Times New Roman"/>
                <w:b w:val="false"/>
                <w:sz w:val="26"/>
              </w:rPr>
              <w:t>Thông tư 24/2022/TT-NHNN</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2026-05-28T17:34:54Z</dcterms:created>
  <dc:creator>Apache POI</dc:creator>
</cp:coreProperties>
</file>