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1739/QĐ- 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hành nghề bác sỹ gia đình đối với người nước ngoài, người Việt Nam định cư ở nước ngoài thuộc thẩm quyền của Bộ Y tế trước ngày 01/01/2016</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w:t>
      </w:r>
    </w:p>
    <w:p>
      <w:pPr>
        <w:spacing w:after="0" w:before="0" w:lineRule="auto" w:line="276"/>
        <w:jc w:val="both"/>
      </w:pPr>
      <w:r>
        <w:rPr>
          <w:rFonts w:ascii="Times New Roman" w:hAnsi="Times New Roman" w:cs="Times New Roman" w:eastAsia="Times New Roman"/>
          <w:b w:val="false"/>
          <w:sz w:val="26"/>
        </w:rPr>
        <w:t>Bước 1: Người đề nghị cấp chứng chỉ hành nghề gửi hồ sơ về Cục Quản lý Khám, chữa bệnh - Bộ Y tế;</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Bước 2: Cục Quản lý Khám, chữa bệnh tiếp nhận và gửi Phiếu tiếp nhận hồ sơ cho người đề nghị</w:t>
      </w:r>
    </w:p>
    <w:p>
      <w:pPr>
        <w:shd w:val="clear" w:color="auto" w:fill="F2F6F9"/>
        <w:spacing w:after="0" w:before="120" w:lineRule="auto" w:line="276"/>
        <w:jc w:val="both"/>
      </w:pPr>
      <w:r>
        <w:rPr>
          <w:rFonts w:ascii="Times New Roman" w:hAnsi="Times New Roman" w:cs="Times New Roman" w:eastAsia="Times New Roman"/>
          <w:b w:val="true"/>
          <w:sz w:val="26"/>
        </w:rPr>
        <w:t>Bước 3</w:t>
      </w:r>
    </w:p>
    <w:p>
      <w:pPr>
        <w:spacing w:after="0" w:before="0" w:lineRule="auto" w:line="276"/>
        <w:jc w:val="both"/>
      </w:pPr>
      <w:r>
        <w:rPr>
          <w:rFonts w:ascii="Times New Roman" w:hAnsi="Times New Roman" w:cs="Times New Roman" w:eastAsia="Times New Roman"/>
          <w:b w:val="false"/>
          <w:sz w:val="26"/>
        </w:rPr>
        <w:t>Bước 3: Bộ Y tế sẽ xem xét và thẩm định hồ sơ để cấp chứng chỉ hành nghề bác sỹ gia đình, cụ thể:</w:t>
      </w:r>
    </w:p>
    <w:p>
      <w:pPr>
        <w:spacing w:after="0" w:before="0" w:lineRule="auto" w:line="276"/>
        <w:jc w:val="both"/>
      </w:pPr>
      <w:r>
        <w:rPr>
          <w:rFonts w:ascii="Times New Roman" w:hAnsi="Times New Roman" w:cs="Times New Roman" w:eastAsia="Times New Roman"/>
          <w:b w:val="false"/>
          <w:sz w:val="26"/>
        </w:rPr>
        <w:t>Trường hợp đủ hồ sơ và điều kiện theo quy định sẽ cấp chứng chỉ hành nghề bác sỹ gia đình.</w:t>
      </w:r>
    </w:p>
    <w:p>
      <w:pPr>
        <w:spacing w:after="0" w:before="0" w:lineRule="auto" w:line="276"/>
        <w:jc w:val="both"/>
      </w:pPr>
      <w:r>
        <w:rPr>
          <w:rFonts w:ascii="Times New Roman" w:hAnsi="Times New Roman" w:cs="Times New Roman" w:eastAsia="Times New Roman"/>
          <w:b w:val="false"/>
          <w:sz w:val="26"/>
        </w:rPr>
        <w:t>Trường hợp hồ sơ chưa hợp lệ thì trong thời hạn 10 ngày làm việc, kể từ ngày ghi trên Phiếu tiếp nhận hồ sơ, Cục Quản lý Khám, chữa bệnh phải có văn bản thông báo cho người đề nghị cấp chứng chỉ hành nghề để hoàn chỉnh hồ sơ.</w:t>
      </w:r>
    </w:p>
    <w:p>
      <w:pPr>
        <w:spacing w:after="0" w:before="0" w:lineRule="auto" w:line="276"/>
        <w:jc w:val="both"/>
      </w:pPr>
      <w:r>
        <w:rPr>
          <w:rFonts w:ascii="Times New Roman" w:hAnsi="Times New Roman" w:cs="Times New Roman" w:eastAsia="Times New Roman"/>
          <w:b w:val="false"/>
          <w:sz w:val="26"/>
        </w:rPr>
        <w:t>Trường hợp không đủ điều kiện để cấp chứng chỉ hành nghề, Bộ Y tế sẽ có văn bản trả lời và nêu lý do.</w:t>
      </w:r>
    </w:p>
    <w:p>
      <w:pPr>
        <w:shd w:val="clear" w:color="auto" w:fill="F2F6F9"/>
        <w:spacing w:after="0" w:before="120" w:lineRule="auto" w:line="276"/>
        <w:jc w:val="both"/>
      </w:pPr>
      <w:r>
        <w:rPr>
          <w:rFonts w:ascii="Times New Roman" w:hAnsi="Times New Roman" w:cs="Times New Roman" w:eastAsia="Times New Roman"/>
          <w:b w:val="true"/>
          <w:sz w:val="26"/>
        </w:rPr>
        <w:t>Bước 4</w:t>
      </w:r>
    </w:p>
    <w:p>
      <w:pPr>
        <w:spacing w:after="0" w:before="0" w:lineRule="auto" w:line="276"/>
        <w:jc w:val="both"/>
      </w:pPr>
      <w:r>
        <w:rPr>
          <w:rFonts w:ascii="Times New Roman" w:hAnsi="Times New Roman" w:cs="Times New Roman" w:eastAsia="Times New Roman"/>
          <w:b w:val="false"/>
          <w:sz w:val="26"/>
        </w:rPr>
        <w:t>Bước 4: Trả chứng chỉ hành nghề cho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Lệ phí : 360.000 Đồng</w:t>
              <w:t xml:space="preserve"> (Phí thẩm định)</w:t>
            </w:r>
          </w:p>
          <w:p>
            <w:pPr>
              <w:spacing w:after="0" w:before="0" w:lineRule="auto" w:line="276"/>
              <w:jc w:val="left"/>
            </w:pPr>
            <w:r>
              <w:rPr>
                <w:rFonts w:ascii="Times New Roman" w:hAnsi="Times New Roman" w:cs="Times New Roman" w:eastAsia="Times New Roman"/>
                <w:b w:val="false"/>
                <w:sz w:val="26"/>
              </w:rPr>
              <w:t>Lệ phí : 190.000 Đồng</w:t>
              <w:t xml:space="preserve"> (Lệ phí)</w:t>
            </w:r>
          </w:p>
        </w:tc>
        <w:tc>
          <w:p/>
          <w:p>
            <w:pPr>
              <w:spacing w:after="0" w:before="0" w:lineRule="auto" w:line="276"/>
              <w:jc w:val="left"/>
            </w:pPr>
            <w:r>
              <w:rPr>
                <w:rFonts w:ascii="Times New Roman" w:hAnsi="Times New Roman" w:cs="Times New Roman" w:eastAsia="Times New Roman"/>
                <w:b w:val="false"/>
                <w:sz w:val="26"/>
              </w:rPr>
              <w:t xml:space="preserve">Trong thời hạn 60 ngày, kể từ ngày nhận đủ hồ sơ hợp lệ </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180 ngày đối với trường hợp cần xác minh người được đào tạo ở nước ngoài hoặc có chứng chỉ hành nghề do nước ngoài cấp.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Lệ phí : 360.000 Đồng</w:t>
              <w:t xml:space="preserve"> (Phí thẩm định)</w:t>
            </w:r>
          </w:p>
          <w:p>
            <w:pPr>
              <w:spacing w:after="0" w:before="0" w:lineRule="auto" w:line="276"/>
              <w:jc w:val="left"/>
            </w:pPr>
            <w:r>
              <w:rPr>
                <w:rFonts w:ascii="Times New Roman" w:hAnsi="Times New Roman" w:cs="Times New Roman" w:eastAsia="Times New Roman"/>
                <w:b w:val="false"/>
                <w:sz w:val="26"/>
              </w:rPr>
              <w:t>Lệ phí : 190.000 Đồng</w:t>
              <w:t xml:space="preserve"> (Lệ phí)</w:t>
            </w:r>
          </w:p>
        </w:tc>
        <w:tc>
          <w:p/>
          <w:p>
            <w:pPr>
              <w:spacing w:after="0" w:before="0" w:lineRule="auto" w:line="276"/>
              <w:jc w:val="left"/>
            </w:pPr>
            <w:r>
              <w:rPr>
                <w:rFonts w:ascii="Times New Roman" w:hAnsi="Times New Roman" w:cs="Times New Roman" w:eastAsia="Times New Roman"/>
                <w:b w:val="false"/>
                <w:sz w:val="26"/>
              </w:rPr>
              <w:t xml:space="preserve">Trong thời hạn 60 ngày, kể từ ngày nhận đủ hồ sơ hợp lệ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180 ngày đối với trường hợp cần xác minh người được đào tạo ở nước ngoài hoặc có chứng chỉ hành nghề do nước ngoài cấp.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hành nghề theo Mẫu 02 - Phụ lục 01 kèm theo Thông tư 41/2011/TT-BYT</w:t>
            </w:r>
          </w:p>
        </w:tc>
        <w:tc>
          <w:p/>
          <w:p>
            <w:pPr>
              <w:spacing w:after="0" w:before="0" w:lineRule="auto" w:line="276"/>
              <w:jc w:val="left"/>
            </w:pPr>
            <w:r>
              <w:rPr>
                <w:rFonts w:ascii="Times New Roman" w:hAnsi="Times New Roman" w:cs="Times New Roman" w:eastAsia="Times New Roman"/>
                <w:b w:val="false"/>
                <w:sz w:val="26"/>
              </w:rPr>
              <w:t>mẫu 02 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văn bằng chuyên môn;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quá trình thực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giấy chứng nhận biết tiếng Việt thành thạo hoặc phải có người phiên dịch để phiên dịch từ ngôn ngữ của người đó đăng ký sử dụng sang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giấy phép lao động do cơ quan nhà nước có thẩm quyền về lao động của Việt Nam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Hai ảnh 04 x 06 cm được chụp trên nền trắng trong thời gian không quá 06 tháng tính đến ngày nộp đơn.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Khám chữa bệnh - Bộ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Khám, chữa bệnh - Bộ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bác sỹ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16/2014/TT-BYT</w:t>
            </w:r>
          </w:p>
        </w:tc>
        <w:tc>
          <w:p/>
          <w:p>
            <w:pPr>
              <w:spacing w:after="0" w:before="0" w:lineRule="auto" w:line="276"/>
              <w:jc w:val="left"/>
            </w:pPr>
            <w:r>
              <w:rPr>
                <w:rFonts w:ascii="Times New Roman" w:hAnsi="Times New Roman" w:cs="Times New Roman" w:eastAsia="Times New Roman"/>
                <w:b w:val="false"/>
                <w:sz w:val="26"/>
              </w:rPr>
              <w:t>Thông tư 16/2014/TT-BYT-Hướng dẫn thí điểm về bác sĩ gia đình và phòng khám bác sĩ gia đình</w:t>
            </w:r>
          </w:p>
        </w:tc>
        <w:tc>
          <w:p/>
          <w:p>
            <w:pPr>
              <w:spacing w:after="0" w:before="0" w:lineRule="auto" w:line="276"/>
              <w:jc w:val="left"/>
            </w:pPr>
            <w:r>
              <w:rPr>
                <w:rFonts w:ascii="Times New Roman" w:hAnsi="Times New Roman" w:cs="Times New Roman" w:eastAsia="Times New Roman"/>
                <w:b w:val="false"/>
                <w:sz w:val="26"/>
              </w:rPr>
              <w:t>22-05-2014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về văn bằng
Đối với người đề nghị cấp chứng chỉ hành nghề bác sỹ gia đình trước ngày 01 tháng 01 năm 2016, thì ít nhất phải có bằng tốt nghiệp bác sỹ đa khoa và giấy chứng nhận đào tạo, bồi dưỡng chuyên ngành y học gia đình có thời gian tối thiểu 3 tháng do cơ sở đào tạo được Bộ Y tế hoặc Sở Y tế công nhận cấp;
2. Điều kiện về quá trình thực hành khám bệnh, chữa bệnh:
Đối với người đề nghị cấp chứng chỉ hành nghề bác sỹ gia đình trước ngày 01 tháng 01 năm 2016 thì phải có văn bản xác nhận quá trình thực hành khám bệnh, chữa bệnh tại cơ sở khám bệnh, chữa bệnh có thời gian 18 tháng theo quy định của Luật Khám bệnh, chữa bệnh và Thông tư số 41/2011/TT-BYT ngày 14 tháng 11 năm 2011 của Bộ trưởng Bộ Y tế hướng dẫn cấp chứng chỉ hành nghề đối với người hành nghề và giấy phép hoạt động đối với cơ sở khám bệnh, chữa bệnh;
3. Không thuộc các trường hợp quy định tại Khoản 4 Điều 18 Luật Khám bệnh, chữa bệnh.
4. Không thuộc các trường hợp quy định tại Khoản 4 Điều 18 Luật Khám bệnh, chữa bệnh;	
5. Các điều kiện quy định tại các Khoản 2, 3, 4 Điều 19 Luật Khám bệnh, chữa bệnh.
6. Người nước ngoài, người Việt Nam định cư ở nước ngoài đã có chứng chỉ hành nghề bác sỹ gia đình do nước ngoài cấp thì thực hiện theo quy định tại Điều 22 Luật Khám bệnh, chữa bệnh.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2026-05-18T17:31:30Z</dcterms:created>
  <dc:creator>Apache POI</dc:creator>
</cp:coreProperties>
</file>