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1710/QĐ-UBND_ĐT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thay đổi, bổ sung nội dung Giấy chứng nhận hoạt động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Bước 1. Văn phòng đại diện, chi nhánh của tổ chức khoa học và công nghệ nộp hồ sơ đăng ký thay đổi, bổ sung nội dung Giấy chứng nhận hoạt động văn phòng đại diện, chi nhánh tại Sở Khoa học và Công nghệ (Sở KH&CN). Công chức được phân công tiếp nhận hồ sơ có nhiệm vụ tiếp nhận và kiểm tra sơ bộ hồ sơ
a) Trường hợp hồ sơ chưa đúng, chưa đầy đủ theo quy định thì hướng dẫn bằng Phiếu hướng dẫn để tổ chức bổ sung hoàn chỉnh.
b) Trường hợp thành phần hồ sơ đầy đủ thì viết Giấy biên nhận hồ sơ hẹn ngày trả kết quả.
Bước 2. Sở KH&CN tổ chức thẩm định hồ sơ:
- Nếu văn phòng đại diện, chi nhánh đáp ứng các yêu cầu của quy định hiện hành, Sở KH&CN cấp Giấy chứng nhận hoạt động cho văn phòng đại diện, chi nhánh của tổ chức khoa học và công nghệ.
- Trong trường hợp không cấp Giấy chứng nhận hoạt động cho văn phòng đại diện, chi nhánh của tổ chức khoa học và công nghệ, Sở KH&CN có văn bản trả lời và nêu rõ lý do.
Bước 3. Trả kết quả 	
Sở KH&CN trả kết quả (Giấy chứng nhận) cho tổ chức theo một trong các hình thức sau tùy theo yêu cầu của tổ chức:
- Giấy chứng nhận được trao trực tiếp cho tổ chức tại Quầy số 23 (Sở KH&CN) Bộ phận Tiếp nhận hồ sơ và trả kết quả Trung tâm Hành chính thành phố Đà Nẵng, số 03 Lý Tự Trọng, P. Thạch Thang, Q. Hải Châu, TP. Đà Nẵng;
- Gửi kết quả Giấy chứng nhận đến tổ chức qua Bưu điện (dịch vụ bưu chính công ích).
- Trả kết quả trực tuyến thông qua Cổng dịch vụ công trực tuyến thành phố Đà Nẵng tại địa chỉ https://dichvucong.danang.gov.vn hoặc Trang Thông tin điện tử của Sở KH&CN tại địa chỉ https://www.dost.dana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(Thẩm định đối với các thay đổi khác)</w:t>
            </w:r>
          </w:p>
          <w:p>
            <w:pPr>
              <w:spacing w:after="0" w:before="0" w:lineRule="auto" w:line="276"/>
              <w:jc w:val="left"/>
            </w:pPr>
            <w:r>
              <w:rPr>
                <w:rFonts w:ascii="Times New Roman" w:hAnsi="Times New Roman" w:cs="Times New Roman" w:eastAsia="Times New Roman"/>
                <w:b w:val="false"/>
                <w:sz w:val="26"/>
              </w:rPr>
              <w:t>Phí : 1.500.000 Đồng</w:t>
              <w:t xml:space="preserve"> (Thẩm định khi thay đổi trụ sở chi nhánh, văn phòng đại diện của tổ chức khoa học và công nghệ (trừ trường hợp trụ sở chi nhánh, văn phòng đại diện của tổ chức khoa học và công nghệ thay đổi theo quyết định Điều chỉnh địa giới hành chính của cơ quan nhà nước có thẩm quyền))</w:t>
            </w:r>
          </w:p>
          <w:p>
            <w:pPr>
              <w:spacing w:after="0" w:before="0" w:lineRule="auto" w:line="276"/>
              <w:jc w:val="left"/>
            </w:pPr>
            <w:r>
              <w:rPr>
                <w:rFonts w:ascii="Times New Roman" w:hAnsi="Times New Roman" w:cs="Times New Roman" w:eastAsia="Times New Roman"/>
                <w:b w:val="false"/>
                <w:sz w:val="26"/>
              </w:rPr>
              <w:t>Phí : 2.000.000 Đồng</w:t>
              <w:t xml:space="preserve"> (Thẩm định khi đăng ký thay đổi, bổ sung nội dung/ lĩnh vực hoạt động của chi nhánh, văn phòng đại diện của tổ chức KH&amp;CN)</w:t>
            </w:r>
          </w:p>
        </w:tc>
        <w:tc>
          <w:p/>
          <w:p>
            <w:pPr>
              <w:spacing w:after="0" w:before="0" w:lineRule="auto" w:line="276"/>
              <w:jc w:val="left"/>
            </w:pPr>
            <w:r>
              <w:rPr>
                <w:rFonts w:ascii="Times New Roman" w:hAnsi="Times New Roman" w:cs="Times New Roman" w:eastAsia="Times New Roman"/>
                <w:b w:val="false"/>
                <w:sz w:val="26"/>
              </w:rPr>
              <w:t>Nộp hồ sơ trực tiếp tại Quầy số 23 (Sở KH&amp;CN) Bộ phận Tiếp nhận hồ sơ và trả kết quả Trung tâm Hành chính thành phố Đà Nẵng, số 03 Lý Tự Trọng, P. Thạch Thang, Q. Hải Châu, TP.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(Thẩm định đối với các thay đổi khác)</w:t>
            </w:r>
          </w:p>
          <w:p>
            <w:pPr>
              <w:spacing w:after="0" w:before="0" w:lineRule="auto" w:line="276"/>
              <w:jc w:val="left"/>
            </w:pPr>
            <w:r>
              <w:rPr>
                <w:rFonts w:ascii="Times New Roman" w:hAnsi="Times New Roman" w:cs="Times New Roman" w:eastAsia="Times New Roman"/>
                <w:b w:val="false"/>
                <w:sz w:val="26"/>
              </w:rPr>
              <w:t>Phí : 1.500.000 Đồng</w:t>
              <w:t xml:space="preserve"> (Thẩm định khi thay đổi trụ sở chi nhánh, văn phòng đại diện của tổ chức khoa học và công nghệ (trừ trường hợp trụ sở chi nhánh, văn phòng đại diện của tổ chức khoa học và công nghệ thay đổi theo quyết định Điều chỉnh địa giới hành chính của cơ quan nhà nước có thẩm quyền))</w:t>
            </w:r>
          </w:p>
          <w:p>
            <w:pPr>
              <w:spacing w:after="0" w:before="0" w:lineRule="auto" w:line="276"/>
              <w:jc w:val="left"/>
            </w:pPr>
            <w:r>
              <w:rPr>
                <w:rFonts w:ascii="Times New Roman" w:hAnsi="Times New Roman" w:cs="Times New Roman" w:eastAsia="Times New Roman"/>
                <w:b w:val="false"/>
                <w:sz w:val="26"/>
              </w:rPr>
              <w:t>Phí : 2.000.000 Đồng</w:t>
              <w:t xml:space="preserve"> (Thẩm định khi đăng ký thay đổi, bổ sung nội dung/ lĩnh vực hoạt động của chi nhánh, văn phòng đại diện của tổ chức KH&amp;CN)</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trực tuyến thành phố Đà Nẵng tại địa chỉ https://dichvucong.danang.gov.vn hoặc Trang Thông tin điện tử của Sở KH&amp;CN tại địa chỉ https://www.dost.danang.gov.vn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(Thẩm định đối với các thay đổi khác)</w:t>
            </w:r>
          </w:p>
          <w:p>
            <w:pPr>
              <w:spacing w:after="0" w:before="0" w:lineRule="auto" w:line="276"/>
              <w:jc w:val="left"/>
            </w:pPr>
            <w:r>
              <w:rPr>
                <w:rFonts w:ascii="Times New Roman" w:hAnsi="Times New Roman" w:cs="Times New Roman" w:eastAsia="Times New Roman"/>
                <w:b w:val="false"/>
                <w:sz w:val="26"/>
              </w:rPr>
              <w:t>Phí : 1.500.000 Đồng</w:t>
              <w:t xml:space="preserve"> (Thẩm định khi thay đổi trụ sở chi nhánh, văn phòng đại diện của tổ chức khoa học và công nghệ (trừ trường hợp trụ sở chi nhánh, văn phòng đại diện của tổ chức khoa học và công nghệ thay đổi theo quyết định Điều chỉnh địa giới hành chính của cơ quan nhà nước có thẩm quyền))</w:t>
            </w:r>
          </w:p>
          <w:p>
            <w:pPr>
              <w:spacing w:after="0" w:before="0" w:lineRule="auto" w:line="276"/>
              <w:jc w:val="left"/>
            </w:pPr>
            <w:r>
              <w:rPr>
                <w:rFonts w:ascii="Times New Roman" w:hAnsi="Times New Roman" w:cs="Times New Roman" w:eastAsia="Times New Roman"/>
                <w:b w:val="false"/>
                <w:sz w:val="26"/>
              </w:rPr>
              <w:t>Phí : 2.000.000 Đồng</w:t>
              <w:t xml:space="preserve"> (Thẩm định khi đăng ký thay đổi, bổ sung nội dung/ lĩnh vực hoạt động của chi nhánh, văn phòng đại diện của tổ chức KH&amp;CN)</w:t>
            </w:r>
          </w:p>
        </w:tc>
        <w:tc>
          <w:p/>
          <w:p>
            <w:pPr>
              <w:spacing w:after="0" w:before="0" w:lineRule="auto" w:line="276"/>
              <w:jc w:val="left"/>
            </w:pPr>
            <w:r>
              <w:rPr>
                <w:rFonts w:ascii="Times New Roman" w:hAnsi="Times New Roman" w:cs="Times New Roman" w:eastAsia="Times New Roman"/>
                <w:b w:val="false"/>
                <w:sz w:val="26"/>
              </w:rPr>
              <w:t>Gửi hồ sơ đến Sở KH&amp;CN qua Bưu điện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thay đổi, bổ sung Giấy chứng nhận/Giấy chứng nhận hoạt động (Mẫu13).</w:t>
            </w:r>
          </w:p>
        </w:tc>
        <w:tc>
          <w:p/>
          <w:p>
            <w:pPr>
              <w:spacing w:after="0" w:before="0" w:lineRule="auto" w:line="276"/>
              <w:jc w:val="left"/>
            </w:pPr>
            <w:r>
              <w:rPr>
                <w:rFonts w:ascii="Times New Roman" w:hAnsi="Times New Roman" w:cs="Times New Roman" w:eastAsia="Times New Roman"/>
                <w:b w:val="false"/>
                <w:sz w:val="26"/>
              </w:rPr>
              <w:t>Mau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liên quan đến nội dung thay đổi, bổ sung tương ứng.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3.1. Đối với thay đổi tên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về việc thay đổi tên văn phòng đại diện, chi nhánh của tổ chức KH&amp;CN.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chứng nhận, Điều lệ tổ chức và hoạt động của tổ chức khoa học và công nghệ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3.2. Đối với thay đổi thông tin của tổ chức khoa học công nghệ chủ quản ghi trên Giấy chứng nhận hoạt động văn phòng đại diện, chi nhánh: Bản sao (có chứng thực hợp pháp) Giấy chứng nhận và Điều lệ tổ chức và hoạt động của tổ chức khoa học và công nghệ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3.3. Đối với thay đổi địa chỉ trụ sở của văn phòng đại diện, chi nhánh, hồ sơ trụ sở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KH&amp;CN đối với địa điểm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vưn phòng đại diện, chi nhánh;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3.4. Đối với thay đổi người đứng đầu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bổ nhiệm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khoa học (Mẫu 11);</w:t>
            </w:r>
          </w:p>
        </w:tc>
        <w:tc>
          <w:p/>
          <w:p>
            <w:pPr>
              <w:spacing w:after="0" w:before="0" w:lineRule="auto" w:line="276"/>
              <w:jc w:val="left"/>
            </w:pPr>
            <w:r>
              <w:rPr>
                <w:rFonts w:ascii="Times New Roman" w:hAnsi="Times New Roman" w:cs="Times New Roman" w:eastAsia="Times New Roman"/>
                <w:b w:val="false"/>
                <w:sz w:val="26"/>
              </w:rPr>
              <w:t>Mau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các văn bằng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đứng đầu văn phòng đại diện, chi nhánh của tổ chức KH&amp;CN ngoài công lập cần có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được làm việc chính thức (Mẫu 9);</w:t>
            </w:r>
          </w:p>
        </w:tc>
        <w:tc>
          <w:p/>
          <w:p>
            <w:pPr>
              <w:spacing w:after="0" w:before="0" w:lineRule="auto" w:line="276"/>
              <w:jc w:val="left"/>
            </w:pPr>
            <w:r>
              <w:rPr>
                <w:rFonts w:ascii="Times New Roman" w:hAnsi="Times New Roman" w:cs="Times New Roman" w:eastAsia="Times New Roman"/>
                <w:b w:val="false"/>
                <w:sz w:val="26"/>
              </w:rPr>
              <w:t>Mau 9.doc</w:t>
            </w:r>
          </w:p>
          <w:p>
            <w:pPr>
              <w:spacing w:after="0" w:before="0" w:lineRule="auto" w:line="276"/>
              <w:jc w:val="left"/>
            </w:pPr>
            <w:r>
              <w:rPr>
                <w:rFonts w:ascii="Times New Roman" w:hAnsi="Times New Roman" w:cs="Times New Roman" w:eastAsia="Times New Roman"/>
                <w:b w:val="false"/>
                <w:sz w:val="26"/>
              </w:rPr>
              <w:t>Mau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có xác nhận trong thời hạn không quá 01 (một) năm của chính quyền địa phương nơi cư trú hoặc của cơ quan, tổ chức nơi người đó làm việc trước khi chuyển sang làm việc tại tổ chức KH&amp;CN; trường hợp người đứng đầu không phải là công dân Việt Nam thì phải có lý lịch tư pháp của cơ quan có thẩm quyền của nước ngoài xác nhận trong thời hạn không quá 01 (một) năm và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3.5. Đối với thay đổi, bổ sung lĩnh vực hoạt động của văn phòng đại diện, chi nhánh: Bản sao (có chứng thực hợp pháp) Giấy chứng nhận và Điều lệ tổ chức và hoạt động của tổ chức khoa học và công nghệ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Khoa học và Công nghệ, Trung tâm Hành chính thành phố, số 03 Lý Tự Trọng, phường Thạch Thang, quận Hải Châu,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văn phòng đại diện/chi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08/2014/NĐ-CP</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7, Điều 8 Thông tư số 03/2014/TT-BKHCN của Bộ trưởng Bộ Khoa học và Công nghệ và Điều 20 Nghị định số 08/2014/NĐ-CP của Chính phủ. Cụ thể:
Khi đăng ký thay đổi, bổ sung nội dung ghi trên Giấy chứng nhận hoạt động, văn phòng đại diện, chi nhánh vẫn phải đảm bảo các điều kiện quy định tại Khoản 1 Điều 20 Nghị định số 08/2014/NĐ-CP. Cụ thể:
- Lĩnh vực hoạt động của văn phòng đại diện, chi nhánh phải phù hợp với lĩnh vực hoạt động của tổ chức khoa học và công nghệ.
- Việc thành lập văn phòng đại diện, chi nhánh được quy định trong Điều lệ tổ chức và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 Người đứng đầu phải có trình độ đại học trở lên và làm việc chính thức tại văn phòng đại diện, chi nhánh.
- Trụ sở văn phòng đại diện, chi nhánh là nơi làm việc riêng biệt để giao dịch, liên lạc. Trụ sở có địa chỉ được xác định gồm số nhà, tên phố (ngõ phố) hoặc tên xã, phường, thị trấn, huyện, quận, thị xã, thành phố thuộc tỉnh, thành phố trực thuộc Trung ương; số điện thoại, số fax, địa chỉ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2026-05-26T18:45:12Z</dcterms:created>
  <dc:creator>Apache POI</dc:creator>
</cp:coreProperties>
</file>