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3129/QĐ-VP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ứng dụng công nghệ cao trong nuôi tôm thẻ chân trắng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đủ hồ sơ đề nghị hỗ trợ, Sở Khoa học và Công nghệ thành lập Hội đồng thẩm định (sau đây viết tắt là Hội đồng) để đánh giá, xem xét hồ sơ đề nghị hỗ trợ.
- Trong thời hạn 20 ngày làm việc kể từ ngày có quyết định thành lập, Hội đồng tổ chức kiểm tra thực tế và họp thẩm định, đánh giá hồ sơ đề nghị hỗ trợ.
- Trong thời hạn 05 ngày làm việc kể từ ngày nhận được báo cáo kết quả thẩm định của Hội đồng, Sở Khoa học và Công nghệ tập hợp hồ sơ của đối tượng đủ điều kiện hỗ trợ gửi Sở Tài chính để thực hiện việc thẩm định kinh phí hỗ trợ. 
Hồ sơ gửi Sở Tài chính thẩm định gồm: Văn bản đề nghị của Sở Khoa học và Công nghệ; Hồ sơ của tổ chức, hộ gia đình, cá nhân đề nghị hỗ trợ theo quy định; Biên bản họp hội đồng; Báo cáo kết quả của Hội đồng; Biên bản kiểm tra thực tế.
Trong trường hợp không đủ điều kiện hỗ trợ, Sở Khoa học và Công nghệ thông báo và nêu rõ lý do cho đối tượng thụ hưởng. 
- Trong thời hạn 20 ngày làm việc kể từ khi nhận được hồ sơ thẩm định do Sở Khoa học và Công nghệ chuyển đến, Sở Tài chính có trách nhiệm thẩm định mức kinh phí hỗ trợ cụ thể của đối tượng thụ hưởng theo các nội dung hỗ trợ, trình Chủ tịch UBND tỉnh xem xét, quyết định. Trong trường hợp cần thiết, Sở Tài chính được quyền thuê đơn vị thẩm định giá hoặc tổ chức có chức năng tư vấn về giá có đủ năng lực và kinh nghiệm thực hiện thẩm định giá.
Hồ sơ trình Chủ tịch UBND tỉnh phê duyệt gồm: Tờ trình của Sở Tài chính; Kết luận thẩm định mức kinh phí hỗ trợ của Sở Tài chính; Hồ sơ thẩm định do Sở Khoa học và Công nghệ cung cấp; văn bản giải trình hoặc tài liệu khác do đối tượng thụ hưởng cung cấp (nếu có). 
Trường hợp không đủ căn cứ trình Chủ tịch UBND tỉnh phê duyệt mức kinh phí hỗ trợ cụ thể theo đề nghị của Hội đồng, Sở Tài chính phải nêu rõ lý do và thông báo bằng văn bản cho Sở Khoa học và Công nghệ để thông báo cho đối tượng thụ hưởng.
- Trong thời hạn 15 ngày làm việc kể từ khi nhận được hồ sơ thẩm định do Sở Tài chính trình, Chủ tịch UBND tỉnh phê duyệt kinh phí hỗ trợ đối với đối tượng đủ điều kiện hỗ trợ. Trường hợp không đủ điều kiện hỗ trợ thì Chủ tịch UBND tỉnh có văn bản trả lời và nêu rõ lý do. Văn bản phê duyệt hoặc văn bản trả lời của Chủ tịch UBND tỉnh được gửi Sở Tài chính; Sở Khoa học và Công nghệ; tổ chức, cá nhân nộp hồ sơ qua Trung tâm Phục vụ Hành chính công tỉnh.
- Sở Tài chính cấp kinh phí cho tổ chức, cá nhân thụ hưởng theo Quyết định phê duyệt của Chủ tịch UBND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67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Mẫu số 1</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thực hiện: Mẫu số 2</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kinh doanh (đối với doanh nghiệp, hợp tác xã) hoặc Hợp đồng hợp tác (đối với tổ hợp tác) hoặc Chứng minh thư/căn cước công dân (đối với hộ gia đình, cá nhân) (bản sao công chứng hoặc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Giấy chứng nhận cơ sở đủ điều kiện nuôi trồng thủy sản (bản sao công chứng hoặc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Văn bản chứng minh diện tích nuôi tôm, kèm theo bản đồ hiện trạng khu đất (bản sao công chứng hoặc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Giấy chứng nhận VietGap hoặc GlobalGAP (bản sao công chứng hoặc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Hợp đồng, biên bản nghiệm thu, thanh lý hợp đồng mua sắm máy móc, thiết bị; chuyển giao công nghệ (nếu có); chứng từ hợp pháp chứng minh chi phí đầu tư, gồm: chi phí mua sắm máy móc, thiết bị; chi phí chuyển giao công nghệ (nếu có); chi phí đầu tư xây dựng hạ tầng kỹ thuật (hệ thống điện; tư vấn thiết kế,  xây dựng nhà bạt, nhà màng hoặc nhà kính); chi phí đào tạo, tập huấn kỹ thuật; chi phí chứng nhận VietGAP hoặc GlobalGAP (bản sao công chứng hoặc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3</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Khoa học và Công nghệ tại Trung tâm Phục vụ hành chính công tỉnh Thanh Hóa, số 28, Đại lộ Lê Lợi, phường Hạc Thành, tỉnh Thanh Hóa.;  Địa chỉ trực tuyến: https://dichvucong.gov.vn (một phần);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hoặc văn bản từ chối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38/2020/QĐ-TTg</w:t>
            </w:r>
          </w:p>
        </w:tc>
        <w:tc>
          <w:p/>
          <w:p>
            <w:pPr>
              <w:spacing w:after="0" w:before="0" w:lineRule="auto" w:line="276"/>
              <w:jc w:val="left"/>
            </w:pPr>
            <w:r>
              <w:rPr>
                <w:rFonts w:ascii="Times New Roman" w:hAnsi="Times New Roman" w:cs="Times New Roman" w:eastAsia="Times New Roman"/>
                <w:b w:val="false"/>
                <w:sz w:val="26"/>
              </w:rPr>
              <w:t>Quyết định 38/2020/QĐ-TTg</w:t>
            </w:r>
          </w:p>
        </w:tc>
        <w:tc>
          <w:p/>
          <w:p>
            <w:pPr>
              <w:spacing w:after="0" w:before="0" w:lineRule="auto" w:line="276"/>
              <w:jc w:val="left"/>
            </w:pPr>
            <w:r>
              <w:rPr>
                <w:rFonts w:ascii="Times New Roman" w:hAnsi="Times New Roman" w:cs="Times New Roman" w:eastAsia="Times New Roman"/>
                <w:b w:val="false"/>
                <w:sz w:val="26"/>
              </w:rPr>
              <w:t>30-12-2020</w:t>
            </w:r>
          </w:p>
        </w:tc>
        <w:tc>
          <w:p/>
        </w:tc>
      </w:tr>
      <w:tr>
        <w:tc>
          <w:p/>
          <w:p>
            <w:pPr>
              <w:spacing w:after="0" w:before="0" w:lineRule="auto" w:line="276"/>
              <w:jc w:val="left"/>
            </w:pPr>
            <w:r>
              <w:rPr>
                <w:rFonts w:ascii="Times New Roman" w:hAnsi="Times New Roman" w:cs="Times New Roman" w:eastAsia="Times New Roman"/>
                <w:b w:val="false"/>
                <w:sz w:val="26"/>
              </w:rPr>
              <w:t>20/2021/NQ-HĐND</w:t>
            </w:r>
          </w:p>
        </w:tc>
        <w:tc>
          <w:p/>
          <w:p>
            <w:pPr>
              <w:spacing w:after="0" w:before="0" w:lineRule="auto" w:line="276"/>
              <w:jc w:val="left"/>
            </w:pPr>
            <w:r>
              <w:rPr>
                <w:rFonts w:ascii="Times New Roman" w:hAnsi="Times New Roman" w:cs="Times New Roman" w:eastAsia="Times New Roman"/>
                <w:b w:val="false"/>
                <w:sz w:val="26"/>
              </w:rPr>
              <w:t>ban hành Chính sách khuyến khích phát triển khoa học và công nghệ trở thành khâu đột phá trong phát triển kinh tế - xã hội tỉnh Thanh Hóa giai đoạn 2021 - 2025.</w:t>
            </w:r>
          </w:p>
        </w:tc>
        <w:tc>
          <w:p/>
          <w:p>
            <w:pPr>
              <w:spacing w:after="0" w:before="0" w:lineRule="auto" w:line="276"/>
              <w:jc w:val="left"/>
            </w:pPr>
            <w:r>
              <w:rPr>
                <w:rFonts w:ascii="Times New Roman" w:hAnsi="Times New Roman" w:cs="Times New Roman" w:eastAsia="Times New Roman"/>
                <w:b w:val="false"/>
                <w:sz w:val="26"/>
              </w:rPr>
              <w:t>17-07-2021</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đối tượng được hỗ trợ phải đảm bảo đồng thời các điều kiện sau:
- Bắt đầu thực hiện và hoàn thành việc ứng dụng công nghệ cao nuôi tôm thẻ chân trắng trong khoảng thời gian từ ngày Nghị quyết số 20/2021/NQ-HĐND ngày 17/7/2021 của HĐND tỉnh Thanh Hóa ban hành Chính sách khuyến khích phát triển khoa học và công nghệ trở thành khâu đột phá trong phát triển kinh tế - xã hội tỉnh Thanh Hóa giai đoạn 2021 - 2025 có hiệu lực đến ngày 31/12/2025;
- Diện tích nuôi từ 0,5 ha trở lên trong nhà bạt, nhà màng hoặc nhà kính;
- Được cơ quan có thẩm quyền cấp giấy chứng nhận cơ sở đủ điều kiện nuôi trồng thủy sản;
- Công nghệ nuôi tôm thẻ chân trắng thuộc Danh mục công nghệ cao ban hành kèm theo Quyết định số 738/QĐ-BNN-KHCN ngày 14/3/2017 của Bộ trưởng Bộ Nông nghiệp và Phát triển nông thôn về tiêu chí xác định chương trình, dự án nông nghiệp ứng dụng công nghệ cao, nông nghiệp sạch, danh mục công nghệ cao ứng dụng trong nông nghiệp hoặc Quyết định số 38/2020/QĐ-TTg ngày 30/12/2020 của Thủ tướng Chính phủ ban hành Danh mục công nghệ cao được ưu tiên đầu tư phát triển và Danh mục sản phẩm công nghệ cao được khuyến khích phát triển hoặc các ứng dụng công nghệ cao khác được cơ quan có chức năng công nhận hoặc văn bản thay thế của cơ quan có thẩm quyền tại thời điểm hỗ trợ;
- Máy móc, thiết bị mua mới phục vụ trực tiếp cho ứng dụng công nghệ phải mới 100%, có nguồn gốc xuất xứ rõ ràng;
- Áp dụng quy trình thực hành sản xuất nông nghiệp tốt VietGAP hoặc GlobalGAP.
- Đã sản xuất được ít nhất 01vụ;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2026-05-17T12:53:52Z</dcterms:created>
  <dc:creator>Apache POI</dc:creator>
</cp:coreProperties>
</file>