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1.009811.000.00.00.H53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lao động cho người lao động nước ngoài làm việc tại Việt Nam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trực tiếp tại Trung tâm Phục vụ hành chính công tỉnh. 
- Nộp hồ sơ bằng hình thức trực tuyến tại: 
+ Cổng dịch vụ công Quốc gia, địa chỉ: https://dichvucong.gov.vn/ 
- Nộp qua dịch vụ bưu chính công ích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 
Thời gian tiếp nhận và trả kết quả:Từ thứ 2 đến thứ 6 hàng tuần (Sáng từ 7 giờ đến 11 giờ 30 phút; chiều từ 13 giờ 30 phút đến 17 giờ, trừ ngày nghỉ, lễ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225000 Đồng</w:t>
            </w:r>
          </w:p>
        </w:tc>
        <w:tc>
          <w:p/>
          <w:p>
            <w:pPr>
              <w:spacing w:after="0" w:before="0" w:lineRule="auto" w:line="276"/>
              <w:jc w:val="left"/>
            </w:pPr>
            <w:r>
              <w:rPr>
                <w:rFonts w:ascii="Times New Roman" w:hAnsi="Times New Roman" w:cs="Times New Roman" w:eastAsia="Times New Roman"/>
                <w:b w:val="false"/>
                <w:sz w:val="26"/>
              </w:rPr>
              <w:t>- Nộp hồ sơ trực tiếp tại Trung tâm Phục vụ hành chính công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225000 Đồng</w:t>
            </w:r>
          </w:p>
        </w:tc>
        <w:tc>
          <w:p/>
          <w:p>
            <w:pPr>
              <w:spacing w:after="0" w:before="0" w:lineRule="auto" w:line="276"/>
              <w:jc w:val="left"/>
            </w:pPr>
            <w:r>
              <w:rPr>
                <w:rFonts w:ascii="Times New Roman" w:hAnsi="Times New Roman" w:cs="Times New Roman" w:eastAsia="Times New Roman"/>
                <w:b w:val="false"/>
                <w:sz w:val="26"/>
              </w:rPr>
              <w:t>- Nộp hồ sơ bằng hình thức trực tuyến tại Cổng dịch vụ công Quốc gia,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225000 Đồng</w:t>
            </w:r>
          </w:p>
        </w:tc>
        <w:tc>
          <w:p/>
          <w:p>
            <w:pPr>
              <w:spacing w:after="0" w:before="0" w:lineRule="auto" w:line="276"/>
              <w:jc w:val="left"/>
            </w:pPr>
            <w:r>
              <w:rPr>
                <w:rFonts w:ascii="Times New Roman" w:hAnsi="Times New Roman" w:cs="Times New Roman" w:eastAsia="Times New Roman"/>
                <w:b w:val="false"/>
                <w:sz w:val="26"/>
              </w:rPr>
              <w:t>- Nộp qua dịch vụ bưu chính công ích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gia hạn giấy phép lao động của người sử dụng lao động theo Mẫu số 11/PLI Phụ lục I ban hành kèm theo Nghị định số 152/2020/NĐ-CP.</w:t>
            </w:r>
          </w:p>
        </w:tc>
        <w:tc>
          <w:p/>
          <w:p>
            <w:pPr>
              <w:spacing w:after="0" w:before="0" w:lineRule="auto" w:line="276"/>
              <w:jc w:val="left"/>
            </w:pPr>
            <w:r>
              <w:rPr>
                <w:rFonts w:ascii="Times New Roman" w:hAnsi="Times New Roman" w:cs="Times New Roman" w:eastAsia="Times New Roman"/>
                <w:b w:val="false"/>
                <w:sz w:val="26"/>
              </w:rPr>
              <w:t>22.Mus11PLIPhlcIbanhnhkmtheoNghnhs152.docx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02 ảnh màu (kích thước 4 cm x 6 cm, phông nền trắng, mặt nhìn thẳng, đầu để trần, không đeo kính màu), ảnh chụp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chấp thuận nhu cầu sử dụng người lao động nước ngoài trừ những trường hợp không phải xác định nhu cầu sử dụng người lao động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có chứng thực hộ chiếu hoặc bản sao hộ chiếu có xác nhận của người sử dụng lao động còn giá trị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chứng nhận sức khỏe hoặc giấy khám sức khỏe do cơ quan, tổ chức y tế có thẩm quyền của nước ngoài hoặc của Việt Nam cấp có giá trị trong thời hạn 12 tháng, kể từ ngày ký kết luận sức khỏe đến ngày nộp hồ sơ hoặc giấy chứng nhận có đủ sức khoẻ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Một trong các giấy tờ chứng minh người lao động nước ngoài tiếp tục làm việc cho người sử dụng lao động theo nội dung giấy phép lao động đã được cấp trừ trường hợp người lao động nước ngoài làm việc theo hình thức hợp đồng lao động: - Đối với người lao động nước ngoài di chuyển nội bộ doanh nghiệp phải có văn bản của doanh nghiệp nước ngoài cử sang làm việc tại hiện diện thương mại của doanh nghiệp nước ngoài đó trên lãnh thổ Việt Nam và văn bản chứng minh người lao động nước ngoài đã được doanh nghiệp nước ngoài đó tuyển dụng trước khi làm việc tại Việt Nam ít nhất 12 tháng liên tục; - Đối với người lao động nước ngoài vào Việt Nam để thực hiện các loại hợp đồng hoặc thỏa thuận về kinh tế, thương mại, tài chính, ngân hàng, bảo hiểm, khoa học kỹ thuật, văn hóa, thể thao, giáo dục, giáo dục nghề nghiệp và y tế phải có hợp đồng hoặc thỏa thuận ký kết giữa đối tác phía Việt Nam và phía nước ngoài, trong đó phải có thỏa thuận về việc người lao động nước ngoài làm việc tại Việt Nam; - Đối với người lao động nước ngoài là nhà cung cấp dịch vụ theo hợp đồng phải có hợp đồng cung cấp dịch vụ ký kết giữa đối tác phía Việt Nam và phía nước ngoài và văn bản chứng minh người lao động nước ngoài đã làm việc cho doanh nghiệp nước ngoài không có hiện diện thương mại tại Việt Nam được ít nhất 02 năm; - Đối với người lao động nước ngoài vào Việt Nam để chào bán dịch vụ phải có văn bản của nhà cung cấp dịch vụ cử người lao động nước ngoài vào Việt Nam để đàm phán cung cấp dịch vụ; - Đối với người lao động nước ngoài làm việc cho tổ chức phi chính phủ nước ngoài, tổ chức quốc tế tại Việt Nam được phép hoạt động theo quy định của pháp luật Việt Nam phải có văn bản của cơ quan, tổ chức cử người lao động nước ngoài đến làm việc cho tổ chức phi chính phủ nước ngoài, tổ chức quốc tế tại Việt Nam trừ trường hợp quy định tại điểm a khoản 1 Điều 2 Nghị định này và giấy phép hoạt động của tổ chức phi chính phủ nước ngoài, tổ chức quốc tế tại Việt Nam theo quy định của pháp luật; - Đối với người lao động nước ngoài là nhà quản lý, giám đốc điều hành, chuyên gia, lao động kỹ thuật thì phải có văn bản của cơ quan, tổ chức, doanh nghiệp nước ngoài cử người lao động nước ngoài sang làm việc tại Việt Nam và phù hợp với vị trí công việc dự kiến làm việc hoặc giấy tờ chứng minh là nhà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Giấy tờ quy định tại các khoản 3, 4, 6 và 7 nêu trên là 01 bản gốc hoặc bản sao có chứng thực, nếu của nước ngoài thì phải hợp pháp hóa lãnh sự và phải dịch ra tiếng Việt và công chứng hoặc chứng thực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tỉnh Tây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Địa chỉ: Số 83, đường Phạm Tung, Phường 3, Thành phố Tây Ninh, tỉnh Tây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 hạn giấy phép lao động cho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152/2020/NĐ-CP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30-12-2020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r>
        <w:tc>
          <w:p/>
          <w:p>
            <w:pPr>
              <w:spacing w:after="0" w:before="0" w:lineRule="auto" w:line="276"/>
              <w:jc w:val="left"/>
            </w:pPr>
            <w:r>
              <w:rPr>
                <w:rFonts w:ascii="Times New Roman" w:hAnsi="Times New Roman" w:cs="Times New Roman" w:eastAsia="Times New Roman"/>
                <w:b w:val="false"/>
                <w:sz w:val="26"/>
              </w:rPr>
              <w:t>01/2018/TT-VPCP</w:t>
            </w:r>
          </w:p>
        </w:tc>
        <w:tc>
          <w:p/>
          <w:p>
            <w:pPr>
              <w:spacing w:after="0" w:before="0" w:lineRule="auto" w:line="276"/>
              <w:jc w:val="left"/>
            </w:pPr>
            <w:r>
              <w:rPr>
                <w:rFonts w:ascii="Times New Roman" w:hAnsi="Times New Roman" w:cs="Times New Roman" w:eastAsia="Times New Roman"/>
                <w:b w:val="false"/>
                <w:sz w:val="26"/>
              </w:rPr>
              <w:t>Thông tư 01/2018/TT-VPCP</w:t>
            </w:r>
          </w:p>
        </w:tc>
        <w:tc>
          <w:p/>
          <w:p>
            <w:pPr>
              <w:spacing w:after="0" w:before="0" w:lineRule="auto" w:line="276"/>
              <w:jc w:val="left"/>
            </w:pPr>
            <w:r>
              <w:rPr>
                <w:rFonts w:ascii="Times New Roman" w:hAnsi="Times New Roman" w:cs="Times New Roman" w:eastAsia="Times New Roman"/>
                <w:b w:val="false"/>
                <w:sz w:val="26"/>
              </w:rPr>
              <w:t>23-11-2018</w:t>
            </w:r>
          </w:p>
        </w:tc>
        <w:tc>
          <w:p/>
        </w:tc>
      </w:tr>
      <w:tr>
        <w:tc>
          <w:p/>
          <w:p>
            <w:pPr>
              <w:spacing w:after="0" w:before="0" w:lineRule="auto" w:line="276"/>
              <w:jc w:val="left"/>
            </w:pPr>
            <w:r>
              <w:rPr>
                <w:rFonts w:ascii="Times New Roman" w:hAnsi="Times New Roman" w:cs="Times New Roman" w:eastAsia="Times New Roman"/>
                <w:b w:val="false"/>
                <w:sz w:val="26"/>
              </w:rPr>
              <w:t>08/2021/NQ-HĐND</w:t>
            </w:r>
          </w:p>
        </w:tc>
        <w:tc>
          <w:p/>
          <w:p>
            <w:pPr>
              <w:spacing w:after="0" w:before="0" w:lineRule="auto" w:line="276"/>
              <w:jc w:val="left"/>
            </w:pPr>
            <w:r>
              <w:rPr>
                <w:rFonts w:ascii="Times New Roman" w:hAnsi="Times New Roman" w:cs="Times New Roman" w:eastAsia="Times New Roman"/>
                <w:b w:val="false"/>
                <w:sz w:val="26"/>
              </w:rPr>
              <w:t>Nghị quyết</w:t>
            </w:r>
          </w:p>
        </w:tc>
        <w:tc>
          <w:p/>
          <w:p>
            <w:pPr>
              <w:spacing w:after="0" w:before="0" w:lineRule="auto" w:line="276"/>
              <w:jc w:val="left"/>
            </w:pPr>
            <w:r>
              <w:rPr>
                <w:rFonts w:ascii="Times New Roman" w:hAnsi="Times New Roman" w:cs="Times New Roman" w:eastAsia="Times New Roman"/>
                <w:b w:val="false"/>
                <w:sz w:val="26"/>
              </w:rPr>
              <w:t>01-07-2021</w:t>
            </w:r>
          </w:p>
        </w:tc>
        <w:tc>
          <w:p/>
        </w:tc>
      </w:tr>
      <w:tr>
        <w:tc>
          <w:p/>
          <w:p>
            <w:pPr>
              <w:spacing w:after="0" w:before="0" w:lineRule="auto" w:line="276"/>
              <w:jc w:val="left"/>
            </w:pPr>
            <w:r>
              <w:rPr>
                <w:rFonts w:ascii="Times New Roman" w:hAnsi="Times New Roman" w:cs="Times New Roman" w:eastAsia="Times New Roman"/>
                <w:b w:val="false"/>
                <w:sz w:val="26"/>
              </w:rPr>
              <w:t>107/2021/NĐ-CP</w:t>
            </w:r>
          </w:p>
        </w:tc>
        <w:tc>
          <w:p/>
          <w:p>
            <w:pPr>
              <w:spacing w:after="0" w:before="0" w:lineRule="auto" w:line="276"/>
              <w:jc w:val="left"/>
            </w:pPr>
            <w:r>
              <w:rPr>
                <w:rFonts w:ascii="Times New Roman" w:hAnsi="Times New Roman" w:cs="Times New Roman" w:eastAsia="Times New Roman"/>
                <w:b w:val="false"/>
                <w:sz w:val="26"/>
              </w:rPr>
              <w:t>Nghị định số 107/2021/NĐ-CP của Chính phủ: Sửa đổi, bổ sung một số điều của Nghị định số 61/2018/NĐ-CP ngày 23 tháng 4 năm 2018 của Chính phủ về thực hiện cơ chế một cửa, một cửa liên thông trong giải quyết thủ tục hành chính</w:t>
            </w:r>
          </w:p>
        </w:tc>
        <w:tc>
          <w:p/>
          <w:p>
            <w:pPr>
              <w:spacing w:after="0" w:before="0" w:lineRule="auto" w:line="276"/>
              <w:jc w:val="left"/>
            </w:pPr>
            <w:r>
              <w:rPr>
                <w:rFonts w:ascii="Times New Roman" w:hAnsi="Times New Roman" w:cs="Times New Roman" w:eastAsia="Times New Roman"/>
                <w:b w:val="false"/>
                <w:sz w:val="26"/>
              </w:rPr>
              <w:t>06-12-2021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18-09-2023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79/2024/NQ-HĐND</w:t>
            </w:r>
          </w:p>
        </w:tc>
        <w:tc>
          <w:p/>
          <w:p>
            <w:pPr>
              <w:spacing w:after="0" w:before="0" w:lineRule="auto" w:line="276"/>
              <w:jc w:val="left"/>
            </w:pPr>
            <w:r>
              <w:rPr>
                <w:rFonts w:ascii="Times New Roman" w:hAnsi="Times New Roman" w:cs="Times New Roman" w:eastAsia="Times New Roman"/>
                <w:b w:val="false"/>
                <w:sz w:val="26"/>
              </w:rPr>
              <w:t>Nghị quyết số 79/2024/NQ-HĐND ngày 28/5/2024 của HĐND tỉnh Tây Ninh quy định việc giảm phí, lệ phí thực hiện thủ tục hành chính khi sử dụng dịch vụ công trực tuyến trên địa bàn tỉnh Tây Ninh.</w:t>
            </w:r>
          </w:p>
        </w:tc>
        <w:tc>
          <w:p/>
          <w:p>
            <w:pPr>
              <w:spacing w:after="0" w:before="0" w:lineRule="auto" w:line="276"/>
              <w:jc w:val="left"/>
            </w:pPr>
            <w:r>
              <w:rPr>
                <w:rFonts w:ascii="Times New Roman" w:hAnsi="Times New Roman" w:cs="Times New Roman" w:eastAsia="Times New Roman"/>
                <w:b w:val="false"/>
                <w:sz w:val="26"/>
              </w:rPr>
              <w:t>28-05-2024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nước ngoài đã được cấp giấy phép lao động đáp ứng một trong các điều kiện sau:
1. Giấy phép lao động đã được cấp còn thời hạn ít nhất 05 ngày nhưng không quá 45 ngày.
2. Được cơ quan có thẩm quyền chấp thuận nhu cầu sử dụng người lao động nước ngoài quy định tại Điều 4 hoặc Điều 5 Nghị định số 152/2020/NĐ-CP (được sửa đổi, bổ sung tại Nghị định số 70/2023/NĐ-CP).
3. Giấy tờ chứng minh người lao động nước ngoài tiếp tục làm việc cho người sử dụng lao động theo nội dung giấy phép lao động đã được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2026-05-20T04:44:46Z</dcterms:created>
  <dc:creator>Apache POI</dc:creator>
</cp:coreProperties>
</file>