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1.010191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phục vụ việc sử dụng tài liệu của độc giả tại Phòng đọc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thư và Lưu trữ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có nhu cầu sử dụng tài liệu đến trực tiếp tại Phòng đọc của Trung tâm Lưu trữ quốc gia, ghi các thông tin vào Phiếu đăng ký sử dụng tài liệu. Độc giả đến sử dụng tài liệu tại các Trung tâm Lưu trữ quốc gia phải có Chứng minh nhân dân, Căn cước công dân hoặc Hộ chiếu; trường hợp sử dụng tài liệu để phục vụ công tác thì phải có Giấy giới thiệu hoặc văn bản đề nghị của cơ quan, tổ chức nơi công tác.</w:t>
      </w:r>
    </w:p>
    <w:p>
      <w:pPr>
        <w:spacing w:after="0" w:before="0" w:lineRule="auto" w:line="276"/>
        <w:jc w:val="both"/>
      </w:pPr>
      <w:r>
        <w:rPr>
          <w:rFonts w:ascii="Times New Roman" w:hAnsi="Times New Roman" w:cs="Times New Roman" w:eastAsia="Times New Roman"/>
          <w:b w:val="false"/>
          <w:sz w:val="26"/>
        </w:rPr>
        <w:t>Bước 2: Sau khi độc giả hoàn thành thủ tục đăng ký, viên chức Phòng đọc đăng ký độc giả vào Sổ đăng ký độc giả; viên chức Phòng đọc hướng dẫn độc giả tra tìm tài liệu và viết Phiếu yêu cầu đọc tài liệu.</w:t>
      </w:r>
    </w:p>
    <w:p>
      <w:pPr>
        <w:spacing w:after="0" w:before="0" w:lineRule="auto" w:line="276"/>
        <w:jc w:val="both"/>
      </w:pPr>
      <w:r>
        <w:rPr>
          <w:rFonts w:ascii="Times New Roman" w:hAnsi="Times New Roman" w:cs="Times New Roman" w:eastAsia="Times New Roman"/>
          <w:b w:val="false"/>
          <w:sz w:val="26"/>
        </w:rPr>
        <w:t>Bước 3: Viên chức Phòng đọc trình hồ sơ đề nghị sử dụng tài liệu của độc giả cho Giám đốc Trung tâm Lưu trữ quốc gia phê duyệt.</w:t>
      </w:r>
    </w:p>
    <w:p>
      <w:pPr>
        <w:spacing w:after="0" w:before="0" w:lineRule="auto" w:line="276"/>
        <w:jc w:val="both"/>
      </w:pPr>
      <w:r>
        <w:rPr>
          <w:rFonts w:ascii="Times New Roman" w:hAnsi="Times New Roman" w:cs="Times New Roman" w:eastAsia="Times New Roman"/>
          <w:b w:val="false"/>
          <w:sz w:val="26"/>
        </w:rPr>
        <w:t>Bước 4: Sau khi hồ sơ đề nghị sử dụng tài liệu của độc giả được duyệt, viên chức Phòng đọc giao tài liệu cho độc giả sử dụng. Độc giả kiểm tra tài liệu và ký nhận vào Sổ giao nhận tài liệu.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275/2016/TT-BTC ngày 14 tháng 11 năm 2016 của Bộ Tài chính quy định mức thu, chế độ thu, nộp, quản lý và sử dụng phí sử dụng tài liệu lưu trữ)</w:t>
            </w:r>
          </w:p>
        </w:tc>
        <w:tc>
          <w:p/>
          <w:p>
            <w:pPr>
              <w:spacing w:after="0" w:before="0" w:lineRule="auto" w:line="276"/>
              <w:jc w:val="left"/>
            </w:pPr>
            <w:r>
              <w:rPr>
                <w:rFonts w:ascii="Times New Roman" w:hAnsi="Times New Roman" w:cs="Times New Roman" w:eastAsia="Times New Roman"/>
                <w:b w:val="false"/>
                <w:sz w:val="26"/>
              </w:rPr>
              <w:t>Thời hạn phê duyệt và cung cấp tài liệu thuộc diện sử dụng rộng rãi chậm nhất là 01 ngày làm việc, kể từ ngày tiếp nhận Phiếu yêu cầu.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(Thời hạn phê duyệt và cung cấp tài liệu thuộc diện hạn chế sử dụng, tài liệu đặc biệt quý, hiếm, chậm nhất là 04 ngày làm việc, kể từ ngày tiếp nhận Phiếu yêu cầu.)</w:t>
            </w:r>
          </w:p>
        </w:tc>
        <w:tc>
          <w:p/>
          <w:p>
            <w:pPr>
              <w:spacing w:after="0" w:before="0" w:lineRule="auto" w:line="276"/>
              <w:jc w:val="left"/>
            </w:pPr>
            <w:r>
              <w:rPr>
                <w:rFonts w:ascii="Times New Roman" w:hAnsi="Times New Roman" w:cs="Times New Roman" w:eastAsia="Times New Roman"/>
                <w:b w:val="false"/>
                <w:sz w:val="26"/>
              </w:rPr>
              <w:t>Thời hạn phê duyệt và cung cấp tài liệu thuộc diện hạn chế sử dụng, tài liệu đặc biệt quý, hiếm, chậm nhất là 04 ngày làm việc, kể từ ngày tiếp nhận Phiếu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Một trong 03 giấy tờ tùy thân: Căn cước công dân, Chứng minh nhân dân hoặc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hoặc văn bản đề nghị của cơ quan, tổ chức nơi công tác (trường hợp sử dụng vì mục đích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đăng ký sử dụng tài liệu (Mẫu số 01);</w:t>
            </w:r>
          </w:p>
        </w:tc>
        <w:tc>
          <w:p/>
          <w:p>
            <w:pPr>
              <w:spacing w:after="0" w:before="0" w:lineRule="auto" w:line="276"/>
              <w:jc w:val="left"/>
            </w:pPr>
            <w:r>
              <w:rPr>
                <w:rFonts w:ascii="Times New Roman" w:hAnsi="Times New Roman" w:cs="Times New Roman" w:eastAsia="Times New Roman"/>
                <w:b w:val="false"/>
                <w:sz w:val="26"/>
              </w:rPr>
              <w:t>01 Mau phieu dk su dung tai lieu (cap TW).docx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yêu cầu đọc tài liệu (Mẫu số 02).</w:t>
            </w:r>
          </w:p>
        </w:tc>
        <w:tc>
          <w:p/>
          <w:p>
            <w:pPr>
              <w:spacing w:after="0" w:before="0" w:lineRule="auto" w:line="276"/>
              <w:jc w:val="left"/>
            </w:pPr>
            <w:r>
              <w:rPr>
                <w:rFonts w:ascii="Times New Roman" w:hAnsi="Times New Roman" w:cs="Times New Roman" w:eastAsia="Times New Roman"/>
                <w:b w:val="false"/>
                <w:sz w:val="26"/>
              </w:rPr>
              <w:t>02 Mau phieu yeu cau doc tai lieu (cap TW).docx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Lưu trữ quốc gia I - Bộ Nội vụ, Trung tâm Lưu trữ quốc gia II - Bộ Nội vụ, Trung tâm Lưu trữ quốc gia III - Bộ Nội vụ, Trung tâm Lưu trữ quốc gia IV - 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Văn thư và Lưu trữ nhà nước - Bộ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Trung tâm Lưu trữ quốc gia thuộc Cục Văn thư và Lưu trữ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Các hồ sơ, văn bản, tài liệu độc giả yêu cầu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01/2011/QH13 </w:t>
            </w:r>
          </w:p>
        </w:tc>
        <w:tc>
          <w:p/>
          <w:p>
            <w:pPr>
              <w:spacing w:after="0" w:before="0" w:lineRule="auto" w:line="276"/>
              <w:jc w:val="left"/>
            </w:pPr>
            <w:r>
              <w:rPr>
                <w:rFonts w:ascii="Times New Roman" w:hAnsi="Times New Roman" w:cs="Times New Roman" w:eastAsia="Times New Roman"/>
                <w:b w:val="false"/>
                <w:sz w:val="26"/>
              </w:rPr>
              <w:t>Luật Lưu trữ</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01/2013/NĐ-CP</w:t>
            </w:r>
          </w:p>
        </w:tc>
        <w:tc>
          <w:p/>
          <w:p>
            <w:pPr>
              <w:spacing w:after="0" w:before="0" w:lineRule="auto" w:line="276"/>
              <w:jc w:val="left"/>
            </w:pPr>
            <w:r>
              <w:rPr>
                <w:rFonts w:ascii="Times New Roman" w:hAnsi="Times New Roman" w:cs="Times New Roman" w:eastAsia="Times New Roman"/>
                <w:b w:val="false"/>
                <w:sz w:val="26"/>
              </w:rPr>
              <w:t>Nghị định 01/2013/NĐ-CP</w:t>
            </w:r>
          </w:p>
        </w:tc>
        <w:tc>
          <w:p/>
          <w:p>
            <w:pPr>
              <w:spacing w:after="0" w:before="0" w:lineRule="auto" w:line="276"/>
              <w:jc w:val="left"/>
            </w:pPr>
            <w:r>
              <w:rPr>
                <w:rFonts w:ascii="Times New Roman" w:hAnsi="Times New Roman" w:cs="Times New Roman" w:eastAsia="Times New Roman"/>
                <w:b w:val="false"/>
                <w:sz w:val="26"/>
              </w:rPr>
              <w:t>03-01-2013</w:t>
            </w:r>
          </w:p>
        </w:tc>
        <w:tc>
          <w:p/>
        </w:tc>
      </w:tr>
      <w:tr>
        <w:tc>
          <w:p/>
          <w:p>
            <w:pPr>
              <w:spacing w:after="0" w:before="0" w:lineRule="auto" w:line="276"/>
              <w:jc w:val="left"/>
            </w:pPr>
            <w:r>
              <w:rPr>
                <w:rFonts w:ascii="Times New Roman" w:hAnsi="Times New Roman" w:cs="Times New Roman" w:eastAsia="Times New Roman"/>
                <w:b w:val="false"/>
                <w:sz w:val="26"/>
              </w:rPr>
              <w:t>01/2014/TT-BNV</w:t>
            </w:r>
          </w:p>
        </w:tc>
        <w:tc>
          <w:p/>
          <w:p>
            <w:pPr>
              <w:spacing w:after="0" w:before="0" w:lineRule="auto" w:line="276"/>
              <w:jc w:val="left"/>
            </w:pPr>
            <w:r>
              <w:rPr>
                <w:rFonts w:ascii="Times New Roman" w:hAnsi="Times New Roman" w:cs="Times New Roman" w:eastAsia="Times New Roman"/>
                <w:b w:val="false"/>
                <w:sz w:val="26"/>
              </w:rPr>
              <w:t>Thông tư 01/2014/TT-BNV</w:t>
            </w:r>
          </w:p>
        </w:tc>
        <w:tc>
          <w:p/>
          <w:p>
            <w:pPr>
              <w:spacing w:after="0" w:before="0" w:lineRule="auto" w:line="276"/>
              <w:jc w:val="left"/>
            </w:pPr>
            <w:r>
              <w:rPr>
                <w:rFonts w:ascii="Times New Roman" w:hAnsi="Times New Roman" w:cs="Times New Roman" w:eastAsia="Times New Roman"/>
                <w:b w:val="false"/>
                <w:sz w:val="26"/>
              </w:rPr>
              <w:t>10-01-2014</w:t>
            </w:r>
          </w:p>
        </w:tc>
        <w:tc>
          <w:p/>
        </w:tc>
      </w:tr>
      <w:tr>
        <w:tc>
          <w:p/>
          <w:p>
            <w:pPr>
              <w:spacing w:after="0" w:before="0" w:lineRule="auto" w:line="276"/>
              <w:jc w:val="left"/>
            </w:pPr>
            <w:r>
              <w:rPr>
                <w:rFonts w:ascii="Times New Roman" w:hAnsi="Times New Roman" w:cs="Times New Roman" w:eastAsia="Times New Roman"/>
                <w:b w:val="false"/>
                <w:sz w:val="26"/>
              </w:rPr>
              <w:t>275/2016/TT-BTC</w:t>
            </w:r>
          </w:p>
        </w:tc>
        <w:tc>
          <w:p/>
          <w:p>
            <w:pPr>
              <w:spacing w:after="0" w:before="0" w:lineRule="auto" w:line="276"/>
              <w:jc w:val="left"/>
            </w:pPr>
            <w:r>
              <w:rPr>
                <w:rFonts w:ascii="Times New Roman" w:hAnsi="Times New Roman" w:cs="Times New Roman" w:eastAsia="Times New Roman"/>
                <w:b w:val="false"/>
                <w:sz w:val="26"/>
              </w:rPr>
              <w:t>Thông tư 275/2016/TT-BTC</w:t>
            </w:r>
          </w:p>
        </w:tc>
        <w:tc>
          <w:p/>
          <w:p>
            <w:pPr>
              <w:spacing w:after="0" w:before="0" w:lineRule="auto" w:line="276"/>
              <w:jc w:val="left"/>
            </w:pPr>
            <w:r>
              <w:rPr>
                <w:rFonts w:ascii="Times New Roman" w:hAnsi="Times New Roman" w:cs="Times New Roman" w:eastAsia="Times New Roman"/>
                <w:b w:val="false"/>
                <w:sz w:val="26"/>
              </w:rPr>
              <w:t>14-11-2016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2026-05-15T15:40:02Z</dcterms:created>
  <dc:creator>Apache POI</dc:creator>
</cp:coreProperties>
</file>