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sử dụng công cụ hỗ trợ tại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ở địa phương có nhu cầu cấp đổi Giấy phép sử dụng công cụ hỗ trợ nộp hồ sơ tại Phòng Cảnh sát quản lý hành chính về trật tự xã hội Công an tỉnh, thành phố trực thuộc Trung ương vào giờ hành chính các ngày làm việc trong tuần, qua Cổng dịch vụ công trực tuyến hoặc qua dịch vụ bưu chính.</w:t>
      </w:r>
    </w:p>
    <w:p>
      <w:pPr>
        <w:spacing w:after="0" w:before="0" w:lineRule="auto" w:line="276"/>
        <w:jc w:val="both"/>
      </w:pPr>
      <w:r>
        <w:rPr>
          <w:rFonts w:ascii="Times New Roman" w:hAnsi="Times New Roman" w:cs="Times New Roman" w:eastAsia="Times New Roman"/>
          <w:b w:val="false"/>
          <w:sz w:val="26"/>
        </w:rPr>
        <w:t>Bước 2: Cán bộ tiếp nhận kiểm tra tính hợp lệ và thành phần của hồ sơ. Nếu hồ sơ đủ điều kiện, thủ tục thì tiếp nhận hồ sơ, giao giấy biên nhận hoặc thông báo trên Cổng dịch vụ công trực tuyến cho người được cơ quan, tổ chức, doanh nghiệp giao nộp hồ sơ. Trường hợp hồ sơ đủ điều kiện nhưng thiếu thủ tục hoặc kê khai chưa đầy đủ, chính xác thì hướng dẫn bằng văn bản hoặc thông báo trên Cổng dịch vụ công trực tuyến ghi rõ thủ tục, nội dung cần bổ sung, kê khai. Trường hợp hồ sơ không đủ điều kiện thì không tiếp nhận hồ sơ và trả lời bằng văn bản hoặc thông báo trên Cổng dịch vụ công trực tuyến nêu rõ lý do không tiếp nhận hồ sơ.</w:t>
      </w:r>
    </w:p>
    <w:p>
      <w:pPr>
        <w:spacing w:after="0" w:before="0" w:lineRule="auto" w:line="276"/>
        <w:jc w:val="both"/>
      </w:pPr>
      <w:r>
        <w:rPr>
          <w:rFonts w:ascii="Times New Roman" w:hAnsi="Times New Roman" w:cs="Times New Roman" w:eastAsia="Times New Roman"/>
          <w:b w:val="false"/>
          <w:sz w:val="26"/>
        </w:rPr>
        <w:t>Bước 3: Căn cứ theo ngày hẹn trên giấy biên nhận hoặc thông báo trên Cổng dịch vụ công trực tuyến, cơ quan, tổ chức, doanh nghiệp đề nghị cấp đổi Giấy phép sử dụng công cụ hỗ trợ nhận Giấy phép sử dụng công cụ hỗ trợ hoặc nhận qua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 01 giấy)</w:t>
            </w:r>
          </w:p>
        </w:tc>
        <w:tc>
          <w:p/>
          <w:p>
            <w:pPr>
              <w:spacing w:after="0" w:before="0" w:lineRule="auto" w:line="276"/>
              <w:jc w:val="left"/>
            </w:pPr>
            <w:r>
              <w:rPr>
                <w:rFonts w:ascii="Times New Roman" w:hAnsi="Times New Roman" w:cs="Times New Roman" w:eastAsia="Times New Roman"/>
                <w:b w:val="false"/>
                <w:sz w:val="26"/>
              </w:rPr>
              <w:t>+ Nộp hồ sơ trực tiếp tại trụ sở Phòng Cảnh sát quản lý hành chính về trật tự xã hội, Công an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 01 giấy)</w:t>
            </w:r>
          </w:p>
        </w:tc>
        <w:tc>
          <w:p/>
          <w:p>
            <w:pPr>
              <w:spacing w:after="0" w:before="0" w:lineRule="auto" w:line="276"/>
              <w:jc w:val="left"/>
            </w:pPr>
            <w:r>
              <w:rPr>
                <w:rFonts w:ascii="Times New Roman" w:hAnsi="Times New Roman" w:cs="Times New Roman" w:eastAsia="Times New Roman"/>
                <w:b w:val="false"/>
                <w:sz w:val="26"/>
              </w:rPr>
              <w:t>+ 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 01 giấy)</w:t>
            </w:r>
          </w:p>
        </w:tc>
        <w:tc>
          <w:p/>
          <w:p>
            <w:pPr>
              <w:spacing w:after="0" w:before="0" w:lineRule="auto" w:line="276"/>
              <w:jc w:val="left"/>
            </w:pPr>
            <w:r>
              <w:rPr>
                <w:rFonts w:ascii="Times New Roman" w:hAnsi="Times New Roman" w:cs="Times New Roman" w:eastAsia="Times New Roman"/>
                <w:b w:val="false"/>
                <w:sz w:val="26"/>
              </w:rPr>
              <w:t>+ Nộp hồ sơ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nêu rõ lý do, số lượng, chủng loại, nhãn hiệu, số hiệu, ký hiệu từng loại công cụ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Căn cước công dân, Chứng minh nhân dân, Hộ chiếu hoặc Chứng minh Công an nhân dân của người đến liên 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công cụ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16/2018/TT-BCA</w:t>
            </w:r>
          </w:p>
        </w:tc>
        <w:tc>
          <w:p/>
          <w:p>
            <w:pPr>
              <w:spacing w:after="0" w:before="0" w:lineRule="auto" w:line="276"/>
              <w:jc w:val="left"/>
            </w:pPr>
            <w:r>
              <w:rPr>
                <w:rFonts w:ascii="Times New Roman" w:hAnsi="Times New Roman" w:cs="Times New Roman" w:eastAsia="Times New Roman"/>
                <w:b w:val="false"/>
                <w:sz w:val="26"/>
              </w:rPr>
              <w:t>Thông tư 16/2018/TT-BCA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17/2018/TT-BCA</w:t>
            </w:r>
          </w:p>
        </w:tc>
        <w:tc>
          <w:p/>
          <w:p>
            <w:pPr>
              <w:spacing w:after="0" w:before="0" w:lineRule="auto" w:line="276"/>
              <w:jc w:val="left"/>
            </w:pPr>
            <w:r>
              <w:rPr>
                <w:rFonts w:ascii="Times New Roman" w:hAnsi="Times New Roman" w:cs="Times New Roman" w:eastAsia="Times New Roman"/>
                <w:b w:val="false"/>
                <w:sz w:val="26"/>
              </w:rPr>
              <w:t>Thông tư 17/2018/TT-BCA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79/2018/NĐ-CP</w:t>
            </w:r>
          </w:p>
        </w:tc>
        <w:tc>
          <w:p/>
          <w:p>
            <w:pPr>
              <w:spacing w:after="0" w:before="0" w:lineRule="auto" w:line="276"/>
              <w:jc w:val="left"/>
            </w:pPr>
            <w:r>
              <w:rPr>
                <w:rFonts w:ascii="Times New Roman" w:hAnsi="Times New Roman" w:cs="Times New Roman" w:eastAsia="Times New Roman"/>
                <w:b w:val="false"/>
                <w:sz w:val="26"/>
              </w:rPr>
              <w:t>Nghị định 79/2018/NĐ-CP</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thuộc lĩnh vực an ninh; phí sát hạch cấp chứng chỉ nghiệp vụ bảo vệ; lệ phí cấp giấy phép quản lý pháo; lệ phí cấp giấy phép quản lý vũ khí, vật liệu nổ, công cụ hỗ trợ</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18/2018/TT-BCA</w:t>
            </w:r>
          </w:p>
        </w:tc>
        <w:tc>
          <w:p/>
          <w:p>
            <w:pPr>
              <w:spacing w:after="0" w:before="0" w:lineRule="auto" w:line="276"/>
              <w:jc w:val="left"/>
            </w:pPr>
            <w:r>
              <w:rPr>
                <w:rFonts w:ascii="Times New Roman" w:hAnsi="Times New Roman" w:cs="Times New Roman" w:eastAsia="Times New Roman"/>
                <w:b w:val="false"/>
                <w:sz w:val="26"/>
              </w:rPr>
              <w:t>Thông tư 18/2018/TT-BCA</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21/2019/TT-BCA</w:t>
            </w:r>
          </w:p>
        </w:tc>
        <w:tc>
          <w:p/>
          <w:p>
            <w:pPr>
              <w:spacing w:after="0" w:before="0" w:lineRule="auto" w:line="276"/>
              <w:jc w:val="left"/>
            </w:pPr>
            <w:r>
              <w:rPr>
                <w:rFonts w:ascii="Times New Roman" w:hAnsi="Times New Roman" w:cs="Times New Roman" w:eastAsia="Times New Roman"/>
                <w:b w:val="false"/>
                <w:sz w:val="26"/>
              </w:rPr>
              <w:t>Thông tư 21/2019/TT-BCA</w:t>
            </w:r>
          </w:p>
        </w:tc>
        <w:tc>
          <w:p/>
          <w:p>
            <w:pPr>
              <w:spacing w:after="0" w:before="0" w:lineRule="auto" w:line="276"/>
              <w:jc w:val="left"/>
            </w:pPr>
            <w:r>
              <w:rPr>
                <w:rFonts w:ascii="Times New Roman" w:hAnsi="Times New Roman" w:cs="Times New Roman" w:eastAsia="Times New Roman"/>
                <w:b w:val="false"/>
                <w:sz w:val="26"/>
              </w:rPr>
              <w:t>18-07-2019</w:t>
            </w:r>
          </w:p>
        </w:tc>
        <w:tc>
          <w:p/>
        </w:tc>
      </w:tr>
      <w:tr>
        <w:tc>
          <w:p/>
          <w:p>
            <w:pPr>
              <w:spacing w:after="0" w:before="0" w:lineRule="auto" w:line="276"/>
              <w:jc w:val="left"/>
            </w:pPr>
            <w:r>
              <w:rPr>
                <w:rFonts w:ascii="Times New Roman" w:hAnsi="Times New Roman" w:cs="Times New Roman" w:eastAsia="Times New Roman"/>
                <w:b w:val="false"/>
                <w:sz w:val="26"/>
              </w:rPr>
              <w:t>23/2019/TT-BTC</w:t>
            </w:r>
          </w:p>
        </w:tc>
        <w:tc>
          <w:p/>
          <w:p>
            <w:pPr>
              <w:spacing w:after="0" w:before="0" w:lineRule="auto" w:line="276"/>
              <w:jc w:val="left"/>
            </w:pPr>
            <w:r>
              <w:rPr>
                <w:rFonts w:ascii="Times New Roman" w:hAnsi="Times New Roman" w:cs="Times New Roman" w:eastAsia="Times New Roman"/>
                <w:b w:val="false"/>
                <w:sz w:val="26"/>
              </w:rPr>
              <w:t>Thông tư 23/2019/TT-BTC</w:t>
            </w:r>
          </w:p>
        </w:tc>
        <w:tc>
          <w:p/>
          <w:p>
            <w:pPr>
              <w:spacing w:after="0" w:before="0" w:lineRule="auto" w:line="276"/>
              <w:jc w:val="left"/>
            </w:pPr>
            <w:r>
              <w:rPr>
                <w:rFonts w:ascii="Times New Roman" w:hAnsi="Times New Roman" w:cs="Times New Roman" w:eastAsia="Times New Roman"/>
                <w:b w:val="false"/>
                <w:sz w:val="26"/>
              </w:rPr>
              <w:t>19-04-2019</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Giấy phép sử dụng công cụ hỗ trợ được cấp đổi đối với các loại súngbắn điện, hơi ngạt, chất độc, chất gây mê, từ trường, laze, lưới;súng phóng dây mồi; súng bắn đạn nhựa, nổ, cao su, hơi cay, pháo hiệu, đánh dấu; các loại dùi cui điện, dùi cui kim loại. Chỉ cấp đổi Giấy phép sử dụng công cụ hỗ trợcho đối tượng được trang bị công cụ hỗ trợ theo quy định tại khoản 1 Điều 55 Luật Quản lý, sử dụng vũ khí, vật liệu nổ và công cụ hỗ trợ (Luật số 14/2017/QH14 ngày 20/6/2017), cụ thể:
“1. Đối tượng được trang bị công cụ hỗ trợ baogồm:
a) Quân đội nhân dân;
b) Dân quân tự vệ;
c) Cảnh sát biển; 
d) Công an nhân dân; 
đ) Cơ yếu; 
e) Cơ quan điều tra của Viện kiểm sát nhân dân tối cao;
g) Cơ quan thi hành án dân sự;
h) Kiểm lâm, lực lượng bảo vệ rừng chuyên trách, Kiểm ngư, lực lượng trực tiếp thực hiện nhiệm vụ thanh tra chuyên ngành thủy sản;
i) Hải quan cửa khẩu, lực lượng chuyên trách chống buôn lậu của Hải quan; 
k) Đội kiểm tra của lực lượng Quản lý thị trường; 
l) An ninh hàng không, lực lượng trực tiếp thực hiện nhiệm vụ thanh tra chuyên ngành giao thông vận tải; 
m) Lực lượng bảo vệ cơ quan, tổ chức, doanh nghiệp; doanh nghiệp kinh doanh dịch vụ bảo vệ;
n) Ban Bảo vệ dân phố; 
o) Câu lạc bộ, cơ sở đào tạo, huấn luyện thể thao có giấy phép hoạt động;
p) Cơ sở cai nghiện ma túy; 
q) Các đối tượng khác có nhu cầu trang bị công cụ hỗ trợ thì căn cứ vào tính chất, yêu cầu, nhiệm vụ, Bộ trưởng Bộ Công an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2026-05-23T16:35:05Z</dcterms:created>
  <dc:creator>Apache POI</dc:creator>
</cp:coreProperties>
</file>