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1.010230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nộp thuế theo NĐ 52 câp Chi cục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thuộc diện được gia hạn nộp thuế lập hồ sơ và gửi hồ sơ đến cơ quan thuế quản lý trực tiếp người nộp thuế.
Trường hợp người nộp thuế thuộc diện được gia hạn thời hạn nộp thuế giá trị gia tăng, thuế thu nhập doanh nghiệp, thuế thu nhập cá nhân và tiền thuê đất theo Nghị định số 41/2020/NĐ-CP lập hồ sơ và gửi hồ sơ đến cơ quan thuế quản lý trực tiếp một lần cho toàn bộ các kỳ của các sắc thuế và tiền thuê đất được gia hạn cùng với thời điểm nộp hồ sơ khai thuế theo tháng (hoặc theo quý) theo quy định pháp luật về quản lý thuế. Trường hợp Giấy đề nghị gia hạn nộp thuế và tiền thuê đất không nộp cùng với thời điểm nộp hồ sơ khai thuế tháng (hoặc theo quý) thì thời hạn nộp chậm nhất là ngày 30 tháng 7 năm 2020.
Trường hợp người nộp thuế thuộc diện được gia hạn thời hạn nộp thuế giá trị gia tăng, thuế thu nhập doanh nghiệp, thuế thu nhập cá nhân và tiền thuê đất theo Nghị định số 52/2021/NĐ-CP trực tiếp lập hồ sơ và gửi hồ sơ đến cơ quan thuế quản lý trực tiếp một lần cho toàn bộ các kỳ của các sắc thuế và tiền thuê đất được gia hạn cùng với thời điểm nộp hồ sơ khai thuế theo tháng (hoặc theo quý) theo quy định pháp luật về quản lý thuế. Trường hợp Giấy đề nghị gia hạn nộp thuế và tiền thuê đất không nộp cùng với thời điểm nộp hồ sơ khai thuế tháng (hoặc theo quý) thì thời hạn nộp chậm nhất là ngày 30 tháng 7 năm 2021.
+ Bước 2. Cơ quan thuế tiếp nhận:
++ Trường hợp hồ sơ được nộp trực tiếp tại cơ quan thuế, công chức thuế tiếp nhận và đóng dấu tiếp nhận hồ sơ, ghi thời gian nhận hồ sơ, ghi nhận số lượng tài liệu trong hồ sơ và ghi vào sổ văn thư của cơ quan thuế.
++ Trường hợp hồ sơ được gửi qua đường bưu chính, công chức thuế đóng dấu ghi ngày nhận hồ sơ và ghi vào sổ văn thư của cơ quan thuế.
++ Trường hợp hồ sơ được nộp bằng phương thức điện tử tới Cổng thông tin điện tử của cơ quan thuế, Cổng dịch vụ công quốc gia, việc tiếp nhận, trả thông báo tiếp nhận và xác nhận ngày nộp hồ sơ do cơ quan thuế thực hiện thông qua hệ thống xử lý dữ liệu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đủ hồ sơ đề nghị gia hạn của người nộp thuế, cơ quan thuế ban hành thông báo không chấp thuận việc gia hạn nộp thuế hoặc Quyết định gia hạn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đủ hồ sơ đề nghị gia hạn của người nộp thuế, cơ quan thuế ban hành thông báo không chấp thuận việc gia hạn nộp thuế hoặc Quyết định gia hạn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đủ hồ sơ đề nghị gia hạn của người nộp thuế, cơ quan thuế ban hành thông báo không chấp thuận việc gia hạn nộp thuế hoặc Quyết định gia hạn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gia hạn nộp thuế  theo Mẫu số 01/GHAN ban hành kèm theo Thông tư số 156/2013/TT-BTC (các trường hợp gia hạn tại điểm (a), (b), (c)) ++ Tài liệu liên quan theo từng trường hợp cụ thể: (a) Đối với trường hợp bị thiên tai, hoả hoạn, tai nạn bất ngờ thì phải có: +++ Biên bản kiểm kê, đánh giá giá trị vật chất thiệt hại do người nộp thuế hoặc người đại diện hợp pháp của người nộp thuế lập;  +++ Văn bản xác nhận về việc người nộp thuế có thiệt hại tại nơi xảy ra thiên tai, hỏa hoạn, tai nạn bất ngờ và thời gian xảy ra thiên tai, hỏa hoạn, tai nạn bất ngờ của một trong các cơ quan, tổ chức sau: cơ quan công an; UBND cấp xã, phường; Ban quản lý Khu công nghiệp, Khu chế xuất, Khu kinh tế nơi xảy ra thiên tai, hoả hoạn, tai nạn bất ngờ hoặc tổ chức cứu hộ, cứu nạn; +++ Hồ sơ bồi thường thiệt hại được cơ quan bảo hiểm chấp nhận bồi thường (bản sao có công chứng hoặc chứng thực nếu có); hồ sơ quy định trách nhiệm của tổ chức, cá nhân phải bồi thường (bản sao có công chứng hoặc chứng thực nếu có). Đối với người nộp thuế là pháp nhân thì các tài liệu nêu trên phải là bản chính hoặc bản sao có chữ ký của người đại diện theo pháp luật, đóng dấu của đơn vị.</w:t>
            </w:r>
          </w:p>
        </w:tc>
        <w:tc>
          <w:p/>
          <w:p>
            <w:pPr>
              <w:spacing w:after="0" w:before="0" w:lineRule="auto" w:line="276"/>
              <w:jc w:val="left"/>
            </w:pPr>
            <w:r>
              <w:rPr>
                <w:rFonts w:ascii="Times New Roman" w:hAnsi="Times New Roman" w:cs="Times New Roman" w:eastAsia="Times New Roman"/>
                <w:b w:val="false"/>
                <w:sz w:val="26"/>
              </w:rPr>
              <w:t>01.GHAN.doc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gia hạn nộp thuế  theo Mẫu số 01/GHAN ban hành kèm theo Thông tư số 156/2013/TT-BTC (các trường hợp gia hạn tại điểm (a), (b), (c)) (b) Đối với trường hợp phải ngừng hoạt động do di dời cơ sở sản xuất kinh doanh theo yêu cầu của cơ quan nhà nước có thẩm quyền: +++ Quyết định của cơ quan nhà nước có thẩm quyền về việc di dời cơ sở sản xuất, kinh doanh của người nộp thuế; +++  Đề án di dời, kế hoạch và tiến độ thực hiện di dời của người nộp thuế; +++ Tài liệu chứng minh người nộp thuế ngừng hoạt động sản xuất kinh doanh, trong đó xác định rõ thời điểm bắt đầu ngừng sản xuất kinh doanh, chi phí di dời, thiệt hại do di dời, ngừng sản xuất kinh doanh gây ra (nếu có).</w:t>
            </w:r>
          </w:p>
        </w:tc>
        <w:tc>
          <w:p/>
          <w:p>
            <w:pPr>
              <w:spacing w:after="0" w:before="0" w:lineRule="auto" w:line="276"/>
              <w:jc w:val="left"/>
            </w:pPr>
            <w:r>
              <w:rPr>
                <w:rFonts w:ascii="Times New Roman" w:hAnsi="Times New Roman" w:cs="Times New Roman" w:eastAsia="Times New Roman"/>
                <w:b w:val="false"/>
                <w:sz w:val="26"/>
              </w:rPr>
              <w:t>01.GHAN.doc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gia hạn nộp thuế  theo Mẫu số 01/GHAN ban hành kèm theo Thông tư số 156/2013/TT-BTC (các trường hợp gia hạn tại điểm (a), (b), (c)) (c) Đối với trường hợp khó khăn đặc biệt khác: +++ Văn bản của cơ quan thuế quản lý trực tiếp gửi cơ quan thuế cấp trên, trong đó: xác nhận khó khăn đặc biệt và những nguyên nhân gây ra khó khăn đó mà người nộp thuế không có khả năng nộp đúng hạn số tiền thuế nợ theo đề nghị, giải trình của người nộp thuế tại văn bản đề nghị gia hạn;  +++ Bản sao các văn bản về gia hạn, xoá nợ, miễn thuế, giảm thuế đối với người nộp thuế của cơ quan thuế ban hành trong thời gian hai (02) năm trước đó (nếu có); +++ Quyết định của cơ quan nhà nước có thẩm quyền có ảnh hưởng đến sản xuất kinh doanh của người nộp thuế khi thực hiện quyết định (nếu có).</w:t>
            </w:r>
          </w:p>
        </w:tc>
        <w:tc>
          <w:p/>
          <w:p>
            <w:pPr>
              <w:spacing w:after="0" w:before="0" w:lineRule="auto" w:line="276"/>
              <w:jc w:val="left"/>
            </w:pPr>
            <w:r>
              <w:rPr>
                <w:rFonts w:ascii="Times New Roman" w:hAnsi="Times New Roman" w:cs="Times New Roman" w:eastAsia="Times New Roman"/>
                <w:b w:val="false"/>
                <w:sz w:val="26"/>
              </w:rPr>
              <w:t>01.GHAN.doc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gia hạn nộp thuế  theo Mẫu số 01/GHAN ban hành kèm theo Thông tư số 156/2013/TT-BTC (các trường hợp gia hạn tại điểm (a), (b), (c)) (d) Đối với trường hợp gia hạn nộp thuế và tiền thuê đất: Theo Nghị định số 41/2020/NĐ-CP: +++ Giấy đề nghị gia hạn nộp thuế và tiền thuê đất theo mẫu ban hành kèm theo Nghị định số 41/2020/NĐ-CP.  Theo Nghị định số 52/2021/NĐ-CP: +++ Giấy đề nghị gia hạn nộp thuế và tiền thuê đất theo mẫu ban hành kèm theo Nghị định số 52/2021/NĐ-CP. Đối với chủ đầu tư các công trình, hạng mục công trình xây dựng cơ bản bằng nguồn vốn ngân sách nhà nước, các khoản thanh toán từ nguồn ngân sách nhà nước cho các công trình xây dựng cơ bản của các dự án sử dụng vốn ODA thuộc diện chịu thuế giá trị gia tăng khi làm thủ tục thanh toán với Kho bạc Nhà nước phải gửi kèm thông báo cơ quan thuế đã tiếp nhận Giấy đề nghị gia hạn hoặc Giấy đề nghị gia hạn có xác nhận đã gửi cơ quan thuế của nhà thầu thực hiện công trình.</w:t>
            </w:r>
          </w:p>
        </w:tc>
        <w:tc>
          <w:p/>
          <w:p>
            <w:pPr>
              <w:spacing w:after="0" w:before="0" w:lineRule="auto" w:line="276"/>
              <w:jc w:val="left"/>
            </w:pPr>
            <w:r>
              <w:rPr>
                <w:rFonts w:ascii="Times New Roman" w:hAnsi="Times New Roman" w:cs="Times New Roman" w:eastAsia="Times New Roman"/>
                <w:b w:val="false"/>
                <w:sz w:val="26"/>
              </w:rPr>
              <w:t>01.GHAN.doc</w:t>
            </w:r>
          </w:p>
          <w:p>
            <w:pPr>
              <w:spacing w:after="0" w:before="0" w:lineRule="auto" w:line="276"/>
              <w:jc w:val="left"/>
            </w:pPr>
            <w:r>
              <w:rPr>
                <w:rFonts w:ascii="Times New Roman" w:hAnsi="Times New Roman" w:cs="Times New Roman" w:eastAsia="Times New Roman"/>
                <w:b w:val="false"/>
                <w:sz w:val="26"/>
              </w:rPr>
              <w:t>Phu luc 41.docx</w:t>
            </w:r>
          </w:p>
          <w:p>
            <w:pPr>
              <w:spacing w:after="0" w:before="0" w:lineRule="auto" w:line="276"/>
              <w:jc w:val="left"/>
            </w:pPr>
            <w:r>
              <w:rPr>
                <w:rFonts w:ascii="Times New Roman" w:hAnsi="Times New Roman" w:cs="Times New Roman" w:eastAsia="Times New Roman"/>
                <w:b w:val="false"/>
                <w:sz w:val="26"/>
              </w:rPr>
              <w:t>Phu luc 52.doc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0, Quyết định gia hạn nộp thuế mẫu số 02/GHAN ban hành kèm theo Thông tư số 156/2013/TT-BTC., Thông báo không chấp nhận gia hạn nộp thuế mẫu số 04/GHAN ban hành kèm theo Thông tư số 156/2013/TT-BTC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78/2006/QH11</w:t>
            </w:r>
          </w:p>
        </w:tc>
        <w:tc>
          <w:p/>
          <w:p>
            <w:pPr>
              <w:spacing w:after="0" w:before="0" w:lineRule="auto" w:line="276"/>
              <w:jc w:val="left"/>
            </w:pPr>
            <w:r>
              <w:rPr>
                <w:rFonts w:ascii="Times New Roman" w:hAnsi="Times New Roman" w:cs="Times New Roman" w:eastAsia="Times New Roman"/>
                <w:b w:val="false"/>
                <w:sz w:val="26"/>
              </w:rPr>
              <w:t>Luật 78/2006/QH11</w:t>
            </w:r>
          </w:p>
        </w:tc>
        <w:tc>
          <w:p/>
          <w:p>
            <w:pPr>
              <w:spacing w:after="0" w:before="0" w:lineRule="auto" w:line="276"/>
              <w:jc w:val="left"/>
            </w:pPr>
            <w:r>
              <w:rPr>
                <w:rFonts w:ascii="Times New Roman" w:hAnsi="Times New Roman" w:cs="Times New Roman" w:eastAsia="Times New Roman"/>
                <w:b w:val="false"/>
                <w:sz w:val="26"/>
              </w:rPr>
              <w:t>29-11-2006</w:t>
            </w:r>
          </w:p>
        </w:tc>
        <w:tc>
          <w:p/>
        </w:tc>
      </w:tr>
      <w:tr>
        <w:tc>
          <w:p/>
          <w:p>
            <w:pPr>
              <w:spacing w:after="0" w:before="0" w:lineRule="auto" w:line="276"/>
              <w:jc w:val="left"/>
            </w:pPr>
            <w:r>
              <w:rPr>
                <w:rFonts w:ascii="Times New Roman" w:hAnsi="Times New Roman" w:cs="Times New Roman" w:eastAsia="Times New Roman"/>
                <w:b w:val="false"/>
                <w:sz w:val="26"/>
              </w:rPr>
              <w:t>71/2014/QH13</w:t>
            </w:r>
          </w:p>
        </w:tc>
        <w:tc>
          <w:p/>
          <w:p>
            <w:pPr>
              <w:spacing w:after="0" w:before="0" w:lineRule="auto" w:line="276"/>
              <w:jc w:val="left"/>
            </w:pPr>
            <w:r>
              <w:rPr>
                <w:rFonts w:ascii="Times New Roman" w:hAnsi="Times New Roman" w:cs="Times New Roman" w:eastAsia="Times New Roman"/>
                <w:b w:val="false"/>
                <w:sz w:val="26"/>
              </w:rPr>
              <w:t>Luật 71/2014/QH13</w:t>
            </w:r>
          </w:p>
        </w:tc>
        <w:tc>
          <w:p/>
          <w:p>
            <w:pPr>
              <w:spacing w:after="0" w:before="0" w:lineRule="auto" w:line="276"/>
              <w:jc w:val="left"/>
            </w:pPr>
            <w:r>
              <w:rPr>
                <w:rFonts w:ascii="Times New Roman" w:hAnsi="Times New Roman" w:cs="Times New Roman" w:eastAsia="Times New Roman"/>
                <w:b w:val="false"/>
                <w:sz w:val="26"/>
              </w:rPr>
              <w:t>26-11-2014</w:t>
            </w:r>
          </w:p>
        </w:tc>
        <w:tc>
          <w:p/>
        </w:tc>
      </w:tr>
      <w:tr>
        <w:tc>
          <w:p/>
          <w:p>
            <w:pPr>
              <w:spacing w:after="0" w:before="0" w:lineRule="auto" w:line="276"/>
              <w:jc w:val="left"/>
            </w:pPr>
            <w:r>
              <w:rPr>
                <w:rFonts w:ascii="Times New Roman" w:hAnsi="Times New Roman" w:cs="Times New Roman" w:eastAsia="Times New Roman"/>
                <w:b w:val="false"/>
                <w:sz w:val="26"/>
              </w:rPr>
              <w:t>83/2013/NĐ-CP</w:t>
            </w:r>
          </w:p>
        </w:tc>
        <w:tc>
          <w:p/>
          <w:p>
            <w:pPr>
              <w:spacing w:after="0" w:before="0" w:lineRule="auto" w:line="276"/>
              <w:jc w:val="left"/>
            </w:pPr>
            <w:r>
              <w:rPr>
                <w:rFonts w:ascii="Times New Roman" w:hAnsi="Times New Roman" w:cs="Times New Roman" w:eastAsia="Times New Roman"/>
                <w:b w:val="false"/>
                <w:sz w:val="26"/>
              </w:rPr>
              <w:t>Nghị định 83/2013/NĐ-CP</w:t>
            </w:r>
          </w:p>
        </w:tc>
        <w:tc>
          <w:p/>
          <w:p>
            <w:pPr>
              <w:spacing w:after="0" w:before="0" w:lineRule="auto" w:line="276"/>
              <w:jc w:val="left"/>
            </w:pPr>
            <w:r>
              <w:rPr>
                <w:rFonts w:ascii="Times New Roman" w:hAnsi="Times New Roman" w:cs="Times New Roman" w:eastAsia="Times New Roman"/>
                <w:b w:val="false"/>
                <w:sz w:val="26"/>
              </w:rPr>
              <w:t>22-07-2013</w:t>
            </w:r>
          </w:p>
        </w:tc>
        <w:tc>
          <w:p/>
        </w:tc>
      </w:tr>
      <w:tr>
        <w:tc>
          <w:p/>
          <w:p>
            <w:pPr>
              <w:spacing w:after="0" w:before="0" w:lineRule="auto" w:line="276"/>
              <w:jc w:val="left"/>
            </w:pPr>
            <w:r>
              <w:rPr>
                <w:rFonts w:ascii="Times New Roman" w:hAnsi="Times New Roman" w:cs="Times New Roman" w:eastAsia="Times New Roman"/>
                <w:b w:val="false"/>
                <w:sz w:val="26"/>
              </w:rPr>
              <w:t>41/2020/NĐ-CP</w:t>
            </w:r>
          </w:p>
        </w:tc>
        <w:tc>
          <w:p/>
          <w:p>
            <w:pPr>
              <w:spacing w:after="0" w:before="0" w:lineRule="auto" w:line="276"/>
              <w:jc w:val="left"/>
            </w:pPr>
            <w:r>
              <w:rPr>
                <w:rFonts w:ascii="Times New Roman" w:hAnsi="Times New Roman" w:cs="Times New Roman" w:eastAsia="Times New Roman"/>
                <w:b w:val="false"/>
                <w:sz w:val="26"/>
              </w:rPr>
              <w:t>Nghị định 41/2020/NĐ-CP</w:t>
            </w:r>
          </w:p>
        </w:tc>
        <w:tc>
          <w:p/>
          <w:p>
            <w:pPr>
              <w:spacing w:after="0" w:before="0" w:lineRule="auto" w:line="276"/>
              <w:jc w:val="left"/>
            </w:pPr>
            <w:r>
              <w:rPr>
                <w:rFonts w:ascii="Times New Roman" w:hAnsi="Times New Roman" w:cs="Times New Roman" w:eastAsia="Times New Roman"/>
                <w:b w:val="false"/>
                <w:sz w:val="26"/>
              </w:rPr>
              <w:t>08-04-2020</w:t>
            </w:r>
          </w:p>
        </w:tc>
        <w:tc>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w:t>
            </w:r>
          </w:p>
        </w:tc>
        <w:tc>
          <w:p/>
          <w:p>
            <w:pPr>
              <w:spacing w:after="0" w:before="0" w:lineRule="auto" w:line="276"/>
              <w:jc w:val="left"/>
            </w:pPr>
            <w:r>
              <w:rPr>
                <w:rFonts w:ascii="Times New Roman" w:hAnsi="Times New Roman" w:cs="Times New Roman" w:eastAsia="Times New Roman"/>
                <w:b w:val="false"/>
                <w:sz w:val="26"/>
              </w:rPr>
              <w:t>06-11-2013</w:t>
            </w:r>
          </w:p>
        </w:tc>
        <w:tc>
          <w:p/>
        </w:tc>
      </w:tr>
      <w:tr>
        <w:tc>
          <w:p/>
          <w:p>
            <w:pPr>
              <w:spacing w:after="0" w:before="0" w:lineRule="auto" w:line="276"/>
              <w:jc w:val="left"/>
            </w:pPr>
            <w:r>
              <w:rPr>
                <w:rFonts w:ascii="Times New Roman" w:hAnsi="Times New Roman" w:cs="Times New Roman" w:eastAsia="Times New Roman"/>
                <w:b w:val="false"/>
                <w:sz w:val="26"/>
              </w:rPr>
              <w:t>26/2015/TT-BTC</w:t>
            </w:r>
          </w:p>
        </w:tc>
        <w:tc>
          <w:p/>
          <w:p>
            <w:pPr>
              <w:spacing w:after="0" w:before="0" w:lineRule="auto" w:line="276"/>
              <w:jc w:val="left"/>
            </w:pPr>
            <w:r>
              <w:rPr>
                <w:rFonts w:ascii="Times New Roman" w:hAnsi="Times New Roman" w:cs="Times New Roman" w:eastAsia="Times New Roman"/>
                <w:b w:val="false"/>
                <w:sz w:val="26"/>
              </w:rPr>
              <w:t>Thông tư 26/2015/TT-BTC</w:t>
            </w:r>
          </w:p>
        </w:tc>
        <w:tc>
          <w:p/>
          <w:p>
            <w:pPr>
              <w:spacing w:after="0" w:before="0" w:lineRule="auto" w:line="276"/>
              <w:jc w:val="left"/>
            </w:pPr>
            <w:r>
              <w:rPr>
                <w:rFonts w:ascii="Times New Roman" w:hAnsi="Times New Roman" w:cs="Times New Roman" w:eastAsia="Times New Roman"/>
                <w:b w:val="false"/>
                <w:sz w:val="26"/>
              </w:rPr>
              <w:t>27-02-2015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Để được gia hạn tiền thuế và tiền thuê đất theo quy định tại Nghị định này, người nộp thuế phải nộp đủ các khoản tiền thuế, tiền thuê đất đã được gia hạn nộp thuế theo quy định tại Nghị định số 41/2020/NĐ-CP và tiền chậm nộp phát sinh tương ứng (nếu có) vào ngân sách nhà nước trước ngày 30 tháng 7 năm 2021.
Trường hợp người nộp thuế lựa chọn và gửi hồ sơ đến cơ quan thuế bằng phương thức điện tử thì phải tuân thủ đúng các quy định của pháp luật về giao dịch điện tử.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2026-05-26T19:40:31Z</dcterms:created>
  <dc:creator>Apache POI</dc:creator>
</cp:coreProperties>
</file>