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1.010244</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4472/QĐ-BTC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thay đổi thông tin đăng ký thuế đối với người nộp thuế là cá nhân có phát sinh thu nhập chịu thuế thu nhập cá nhân (trừ cá nhân kinh doanh) và người phụ thuộc - Trường hợp cá nhân đăng ký thay đổi thông tin trực tiếp tại cơ quan thuế.</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Thuế</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Người nộp thuế là cá nhân đăng ký thuế trực tiếp với cơ quan thuế khi có thay đổi thông tin đăng ký thuế thì phải thông báo cho Chi cục Thuế nơi cá nhân thường trú hoặc tạm trú trong thời hạn 10 ngày làm việc kể từ ngày phát sinh thông tin thay đổi.
++ Đối với trường hợp hồ sơ đăng ký thuế điện tử: Người nộp thuế (NNT) truy cập vào Cổng thông tin điện tử mà người nộp thuế lựa chọn (Cổng thông tin điện tử của Tổng cục Thuế/Cổng thông tin điện tử của cơ quan nhà nước có thẩm quyền bao gồm Cổng dịch vụ công quốc gia, Cổng dịch vụ công cấp Bộ, cấp tỉnh theo quy định về thực hiện cơ chế một cửa, một cửa liên thông trong giải quyết thủ tục hành chính và đã được kết nối với Cổng thông tin điện tử của Tổng cục Thuế/Cổng thông tin của tổ chức cung cấp dịch vụ T-VAN) để khai tờ khai và gửi kèm các hồ sơ theo quy định dưới dạng điện tử (nếu có), ký điện tử và gửi đến cơ quan thuế qua Cổng thông tin điện tử mà người nộp thuế lựa chọn.
+ Bước 2: Cơ quan thuế tiếp nhận:
++ Đối với hồ sơ bằng giấy:
+++ Trường hợp hồ sơ được nộp trực tiếp tại cơ quan thuế: Công chức thuế kiểm tra hồ sơ đăng ký thuế. Trường hợp hồ sơ đầy đủ theo quy định, công chức thuế tiếp nhận và đóng dấu tiếp nhận vào hồ sơ đăng ký thuế, ghi rõ ngày nhận hồ sơ, số lượng tài liệu theo bảng kê danh mục hồ sơ; lập phiếu tiếp nhận và hẹn trả kết quả, thời hạn xử lý hồ sơ đã tiếp nhận. Trường hợp hồ sơ không đầy đủ theo quy định, công chức thuế không tiếp nhận và hướng dẫn người nộp thuế hoàn thiện hồ sơ.
+++ Trường hợp hồ sơ gửi bằng đường bưu chính: Công chức thuế đóng dấu tiếp nhận, ghi ngày nhận hồ sơ vào hồ sơ và ghi số văn thư của cơ quan thuế. Trường hợp hồ sơ không đầy đủ cần phải giải trình, bổ sung thông tin, tài liệu, cơ quan thuế thông báo cho người nộp thuế theo mẫu số 01/TB-BSTT-NNT tại Phụ lục II ban hành kèm theo Nghị định số 126/2020/NĐ-CP ngày 19/10/2020 của Chính phủ trong thời hạn 02 (hai) ngày làm việc kể từ ngày tiếp nhận hồ sơ.
++ Đối với hồ sơ điện tử:
Cơ quan thuế thực hiện tiếp nhận hồ sơ qua Cổng thông tin điện tử của Tổng cục Thuế, thực hiện kiểm tra, giải quyết hồ sơ thông qua hệ thống xử lý dữ liệu điện tử của cơ quan thuế.
+++ Tiếp nhận hồ sơ: Cổng thông tin điện tử của Tổng cục Thuế gửi thông báo tiếp nhận hồ sơ cho NNT qua Cổng thông tin điện tử mà người nộp thuế lựa chọn lập và gửi hồ sơ (Cổng thông tin điện tử của Tổng cục Thuế/Cổng thông tin điện tử của cơ quan nhà nước có thẩm quyền hoặc tổ chức cung cấp dịch vụ T-VAN) chậm nhất 15 phút kể từ khi nhận được hồ sơ đăng ký thuế điện tử của người nộp thuế.
+++ Kiểm tra, giải quyết hồ sơ: Cơ quan thuế thực hiện kiểm tra, giải quyết hồ sơ của người nộp thuế theo quy định của pháp luật về đăng ký thuế và trả kết quả giải quyết qua Cổng thông tin điện tử mà người nộp thuế lựa chọn lập và gửi hồ sơ.
++++ Trường hợp hồ sơ đầy đủ, đúng thủ tục theo quy định: Cơ quan thuế gửi kết quả giải quyết hồ sơ đến Cổng thông tin điện tử mà người nộp thuế lựa chọn lập và gửi hồ sơ theo thời hạn quy định tại Thông tư số 86/2024/TT-BTC ngày 23/12/2024 của Bộ Tài chính.
++++ Trường hợp hồ sơ chưa đầy đủ, chưa đúng thủ tục theo quy định: Cơ quan thuế gửi thông báo về việc không chấp nhận hồ sơ, gửi đến Cổng thông tin điện tử mà người nộp thuế lựa chọn lập và gửi hồ sơ trong thời hạn 02 (hai) ngày làm việc kể từ ngày ghi trên Thông báo tiếp nhận hồ sơ.</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02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02 (hai) ngày làm việc kể từ ngày nhận được đầy đủ hồ sơ thay đổi thông tin đăng ký thuế của người nộp thuế (đối với trường hợp không cấp lại Thông báo mã số thuế cá nhân).</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03 (ba) ngày làm việc kể từ ngày nhận được đầy đủ hồ sơ thay đổi thông tin đăng ký thuế của người nộp thuế (đối với trường hợp cấp lại Thông báo mã số thuế cá nhân).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02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02 (hai) ngày làm việc kể từ ngày nhận được đầy đủ hồ sơ thay đổi thông tin đăng ký thuế của người nộp thuế (đối với trường hợp không cấp lại Thông báo mã số thuế cá nhân).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03 (ba) ngày làm việc kể từ ngày nhận được đầy đủ hồ sơ thay đổi thông tin đăng ký thuế của người nộp thuế (đối với trường hợp cấp lại Thông báo mã số thuế cá nhân).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02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02 (hai) ngày làm việc kể từ ngày nhận được đầy đủ hồ sơ thay đổi thông tin đăng ký thuế của người nộp thuế (đối với trường hợp không cấp lại Thông báo mã số thuế cá nhân).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03 (ba) ngày làm việc kể từ ngày nhận được đầy đủ hồ sơ thay đổi thông tin đăng ký thuế của người nộp thuế (đối với trường hợp cấp lại Thông báo mã số thuế cá nhân).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khai điều chỉnh, bổ sung thông tin đăng ký thuế mẫu số 08-MST hoặc mẫu số 20-ĐK-TCT ban hành kèm theo Thông tư số 86/2024/TT-BTC ngày 23/12/2024 của Bộ Tài chính. Trường hợp cá nhân hoặc người phụ thuộc thuộc trường hợp cơ quan thuế cấp mã số thuế (là người có quốc tịch nước ngoài hoặc là người có quốc tịch Việt Nam sinh sống tại nước ngoài không có số định danh cá nhân được xác lập từ Cơ sở dữ liệu quốc gia về dân cư) thì nộp kèm theo bản sao Hộ chiếu còn hiệu lực của cá nhân hoặc người phụ thuộc trong trường hợp thông tin đăng ký thuế trên giấy tờ này có thay đổi</w:t>
            </w:r>
          </w:p>
        </w:tc>
        <w:tc>
          <w:p/>
          <w:p>
            <w:pPr>
              <w:spacing w:after="0" w:before="0" w:lineRule="auto" w:line="276"/>
              <w:jc w:val="left"/>
            </w:pPr>
            <w:r>
              <w:rPr>
                <w:rFonts w:ascii="Times New Roman" w:hAnsi="Times New Roman" w:cs="Times New Roman" w:eastAsia="Times New Roman"/>
                <w:b w:val="false"/>
                <w:sz w:val="26"/>
              </w:rPr>
              <w:t>Mu08-TKthayithngtinKT.doc</w:t>
            </w:r>
          </w:p>
          <w:p>
            <w:pPr>
              <w:spacing w:after="0" w:before="0" w:lineRule="auto" w:line="276"/>
              <w:jc w:val="left"/>
            </w:pPr>
            <w:r>
              <w:rPr>
                <w:rFonts w:ascii="Times New Roman" w:hAnsi="Times New Roman" w:cs="Times New Roman" w:eastAsia="Times New Roman"/>
                <w:b w:val="false"/>
                <w:sz w:val="26"/>
              </w:rPr>
              <w:t>Mau-20-DK-TCT-To-khai-dang-ky-thue.docx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nước ngoài, Cán bộ, công chức, viên chức</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cơ quan thuế</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Chi cục thuế</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Thông báo mã số thuế cá nhân (theo mẫu 14-MST), Cập nhật thông tin thay đổi nếu khớp đúng với thông tin trong Cơ sở dữ liệu quốc gia về dân cư</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38/2019/QH14</w:t>
            </w:r>
          </w:p>
        </w:tc>
        <w:tc>
          <w:p/>
          <w:p>
            <w:pPr>
              <w:spacing w:after="0" w:before="0" w:lineRule="auto" w:line="276"/>
              <w:jc w:val="left"/>
            </w:pPr>
            <w:r>
              <w:rPr>
                <w:rFonts w:ascii="Times New Roman" w:hAnsi="Times New Roman" w:cs="Times New Roman" w:eastAsia="Times New Roman"/>
                <w:b w:val="false"/>
                <w:sz w:val="26"/>
              </w:rPr>
              <w:t>Luật 38/2019/QH14</w:t>
            </w:r>
          </w:p>
        </w:tc>
        <w:tc>
          <w:p/>
          <w:p>
            <w:pPr>
              <w:spacing w:after="0" w:before="0" w:lineRule="auto" w:line="276"/>
              <w:jc w:val="left"/>
            </w:pPr>
            <w:r>
              <w:rPr>
                <w:rFonts w:ascii="Times New Roman" w:hAnsi="Times New Roman" w:cs="Times New Roman" w:eastAsia="Times New Roman"/>
                <w:b w:val="false"/>
                <w:sz w:val="26"/>
              </w:rPr>
              <w:t>13-06-2019</w:t>
            </w:r>
          </w:p>
        </w:tc>
        <w:tc>
          <w:p/>
        </w:tc>
      </w:tr>
      <w:tr>
        <w:tc>
          <w:p/>
          <w:p>
            <w:pPr>
              <w:spacing w:after="0" w:before="0" w:lineRule="auto" w:line="276"/>
              <w:jc w:val="left"/>
            </w:pPr>
            <w:r>
              <w:rPr>
                <w:rFonts w:ascii="Times New Roman" w:hAnsi="Times New Roman" w:cs="Times New Roman" w:eastAsia="Times New Roman"/>
                <w:b w:val="false"/>
                <w:sz w:val="26"/>
              </w:rPr>
              <w:t>19/2021/TT-BTC</w:t>
            </w:r>
          </w:p>
        </w:tc>
        <w:tc>
          <w:p/>
          <w:p>
            <w:pPr>
              <w:spacing w:after="0" w:before="0" w:lineRule="auto" w:line="276"/>
              <w:jc w:val="left"/>
            </w:pPr>
            <w:r>
              <w:rPr>
                <w:rFonts w:ascii="Times New Roman" w:hAnsi="Times New Roman" w:cs="Times New Roman" w:eastAsia="Times New Roman"/>
                <w:b w:val="false"/>
                <w:sz w:val="26"/>
              </w:rPr>
              <w:t>Thông tư 19/2021/TT-BTC</w:t>
            </w:r>
          </w:p>
        </w:tc>
        <w:tc>
          <w:p/>
          <w:p>
            <w:pPr>
              <w:spacing w:after="0" w:before="0" w:lineRule="auto" w:line="276"/>
              <w:jc w:val="left"/>
            </w:pPr>
            <w:r>
              <w:rPr>
                <w:rFonts w:ascii="Times New Roman" w:hAnsi="Times New Roman" w:cs="Times New Roman" w:eastAsia="Times New Roman"/>
                <w:b w:val="false"/>
                <w:sz w:val="26"/>
              </w:rPr>
              <w:t>18-03-2021</w:t>
            </w:r>
          </w:p>
        </w:tc>
        <w:tc>
          <w:p/>
        </w:tc>
      </w:tr>
      <w:tr>
        <w:tc>
          <w:p/>
          <w:p>
            <w:pPr>
              <w:spacing w:after="0" w:before="0" w:lineRule="auto" w:line="276"/>
              <w:jc w:val="left"/>
            </w:pPr>
            <w:r>
              <w:rPr>
                <w:rFonts w:ascii="Times New Roman" w:hAnsi="Times New Roman" w:cs="Times New Roman" w:eastAsia="Times New Roman"/>
                <w:b w:val="false"/>
                <w:sz w:val="26"/>
              </w:rPr>
              <w:t>86/2024/TT-BTC</w:t>
            </w:r>
          </w:p>
        </w:tc>
        <w:tc>
          <w:p/>
          <w:p>
            <w:pPr>
              <w:spacing w:after="0" w:before="0" w:lineRule="auto" w:line="276"/>
              <w:jc w:val="left"/>
            </w:pPr>
            <w:r>
              <w:rPr>
                <w:rFonts w:ascii="Times New Roman" w:hAnsi="Times New Roman" w:cs="Times New Roman" w:eastAsia="Times New Roman"/>
                <w:b w:val="false"/>
                <w:sz w:val="26"/>
              </w:rPr>
              <w:t>86/2024/TT-BTC</w:t>
            </w:r>
          </w:p>
        </w:tc>
        <w:tc>
          <w:p/>
          <w:p>
            <w:pPr>
              <w:spacing w:after="0" w:before="0" w:lineRule="auto" w:line="276"/>
              <w:jc w:val="left"/>
            </w:pPr>
            <w:r>
              <w:rPr>
                <w:rFonts w:ascii="Times New Roman" w:hAnsi="Times New Roman" w:cs="Times New Roman" w:eastAsia="Times New Roman"/>
                <w:b w:val="false"/>
                <w:sz w:val="26"/>
              </w:rPr>
              <w:t>23-12-2024</w:t>
            </w:r>
          </w:p>
        </w:tc>
        <w:tc>
          <w:p/>
          <w:p>
            <w:pPr>
              <w:spacing w:after="0" w:before="0" w:lineRule="auto" w:line="276"/>
              <w:jc w:val="left"/>
            </w:pPr>
            <w:r>
              <w:rPr>
                <w:rFonts w:ascii="Times New Roman" w:hAnsi="Times New Roman" w:cs="Times New Roman" w:eastAsia="Times New Roman"/>
                <w:b w:val="false"/>
                <w:sz w:val="26"/>
              </w:rPr>
              <w:t>Bộ Tài chính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Cá nhân là người Việt Nam phải kê khai các thông tin về họ và tên, ngày tháng năm sinh, số định danh cá nhân của người phụ thuộc chính xác so với các thông tin được lưu trữ tại Cơ sở dữ liệu quốc gia về dân cư, trường hợp chưa được cấp số định danh cá nhân thì cá nhân phải liên hệ với cơ quan Công an cấp xã để thu thập thông tin vào Cơ sở dữ liệu quốc gia về dân cư và cấp số định danh cá nhân trước khi thực hiện thủ tục đăng ký thuế.
+ Trường hợp người nộp thuế lựa chọn và gửi hồ sơ đến cơ quan thuế thông qua giao dịch điện tử thì phải tuân thủ đúng các quy định của pháp luật về giao dịch điện tử đồng thời đăng ký và đảm bảo đầy đủ các điều kiện thực hiện giao dịch điện tử trong lĩnh vực thuế theo quy định tại Thông tư số 19/2021/TT-BTC ngày 18/3/2021 của Bộ trưởng Bộ Tài chính và Thông tư số 46/2024/TT-BTC ngày 09/07/2024 sửa đổi, bổ sung một số điều của Thông tư số 19/2021/TT-BTC ngày 18/3/2021 của Bộ Tài chính hướng dẫn giao dịch điện tử trong lĩnh vực thuế.</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2026-05-07T23:54:02Z</dcterms:created>
  <dc:creator>Apache POI</dc:creator>
</cp:coreProperties>
</file>