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1.010273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 dụng tần số và thiết bị vô tuyến điện đối với mạng thông tin vô tuyến điện nội bộ (KHÔNG SỬ DỤNG TTHC NÀY).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Chưa xác định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Lĩnh vực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hoàn thiện hồ sơ đề nghị cấp giấy phép sử dụng tần số và thiết bị vô tuyến điện đối với mạng thông tin vô tuyến điện nội bộ theo quy định tại khoản 1, khoản 2 Điều 6 Nghị định số 63/2023/NĐ-CP và nộp hồ sơ đến Trung tâm Tần số vô tuyến điện khu vực.</w:t>
      </w:r>
    </w:p>
    <w:p>
      <w:pPr>
        <w:spacing w:after="0" w:before="0" w:lineRule="auto" w:line="276"/>
        <w:jc w:val="both"/>
      </w:pPr>
      <w:r>
        <w:rPr>
          <w:rFonts w:ascii="Times New Roman" w:hAnsi="Times New Roman" w:cs="Times New Roman" w:eastAsia="Times New Roman"/>
          <w:b w:val="false"/>
          <w:sz w:val="26"/>
        </w:rPr>
        <w:t>- Tổ chức, cá nhân hoàn thiện hồ sơ đề nghị cấp giấy phép sử dụng tần số và thiết bị vô tuyến điện đối với mạng thông tin vô tuyến điện nội bộ theo quy định tại khoản 1, khoản 2 Điều 6 Nghị định số 63/2023/NĐ-CP và nộp hồ sơ đến Trung tâm Tần số vô tuyến điện khu vực.
- Trung tâm Tần số vô tuyến điện khu vực tiếp nhận, kiểm tra tính hợp lệ của hồ sơ. 
+ Trường hợp hồ sơ chưa đầy đủ, chưa đúng quy định thì trong thời hạn 05 ngày làm việc kể từ ngày nhận được hồ sơ, Trung tâm Tần số vô tuyến điện khu vực có trách nhiệm thông báo, hướng dẫn cho tổ chức, cá nhân để bổ sung, hoàn thiện hồ sơ.
+ Trường hợp hồ sơ đầy đủ, đúng quy định, Trung tâm Tần số vô tuyến điện khu vực cấp giấy phép sử dụng tần số và thiết bị vô tuyến điện đối với mạng thông tin vô tuyến điện nội bộ hoặc từ chối cấp giấy phép và nêu rõ lý do trong thời hạn 28 ngày kể từ ngày nhận được hồ sơ đầy đủ, đúng quy định.
+ Trường hợp số lượng tần số vô tuyến điện cần phải ấn định vượt quá 100 tần số trong một hồ sơ hoặc vượt quá 100 tần số trong các hồ sơ được gửi trong vòng 28 ngày của một tổ chức, cá nhân, Trung tâm tần số vô tuyến điện khu vực cấp giấy phép sử dụng tần số và thiết bị vô tuyến điện đối với mạng thông tin vô tuyến điện nội bộ hoặc từ chối cấp giấy phép và nêu rõ lý do trong thời hạn 03 tháng.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định của Bộ Tài chính)</w:t>
            </w:r>
          </w:p>
          <w:p>
            <w:pPr>
              <w:spacing w:after="0" w:before="0" w:lineRule="auto" w:line="276"/>
              <w:jc w:val="left"/>
            </w:pPr>
            <w:r>
              <w:rPr>
                <w:rFonts w:ascii="Times New Roman" w:hAnsi="Times New Roman" w:cs="Times New Roman" w:eastAsia="Times New Roman"/>
                <w:b w:val="false"/>
                <w:sz w:val="26"/>
              </w:rPr>
              <w:t>Phí :  Đồng</w:t>
              <w:t xml:space="preserve"> (Theo quy định của Bộ Tài chính)</w:t>
            </w:r>
          </w:p>
        </w:tc>
        <w:tc>
          <w:p/>
          <w:p>
            <w:pPr>
              <w:spacing w:after="0" w:before="0" w:lineRule="auto" w:line="276"/>
              <w:jc w:val="left"/>
            </w:pPr>
            <w:r>
              <w:rPr>
                <w:rFonts w:ascii="Times New Roman" w:hAnsi="Times New Roman" w:cs="Times New Roman" w:eastAsia="Times New Roman"/>
                <w:b w:val="false"/>
                <w:sz w:val="26"/>
              </w:rPr>
              <w:t>- 28 ngày kể từ ngày nhận được hồ sơ đầy đủ, đúng quy định.
- 03 tháng trong trường hợp số lượng tần số vô tuyến điện cần phải ấn định vượt quá 100 tần số trong một hồ sơ hoặc vượt quá 100 tần số trong các hồ sơ được gửi trong vòng 28 ngày của một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định của Bộ Tài chính)</w:t>
            </w:r>
          </w:p>
          <w:p>
            <w:pPr>
              <w:spacing w:after="0" w:before="0" w:lineRule="auto" w:line="276"/>
              <w:jc w:val="left"/>
            </w:pPr>
            <w:r>
              <w:rPr>
                <w:rFonts w:ascii="Times New Roman" w:hAnsi="Times New Roman" w:cs="Times New Roman" w:eastAsia="Times New Roman"/>
                <w:b w:val="false"/>
                <w:sz w:val="26"/>
              </w:rPr>
              <w:t>Lệ phí :  Đồng</w:t>
              <w:t xml:space="preserve"> (Theo quy định của Bộ Tài chính)</w:t>
            </w:r>
          </w:p>
        </w:tc>
        <w:tc>
          <w:p/>
          <w:p>
            <w:pPr>
              <w:spacing w:after="0" w:before="0" w:lineRule="auto" w:line="276"/>
              <w:jc w:val="left"/>
            </w:pPr>
            <w:r>
              <w:rPr>
                <w:rFonts w:ascii="Times New Roman" w:hAnsi="Times New Roman" w:cs="Times New Roman" w:eastAsia="Times New Roman"/>
                <w:b w:val="false"/>
                <w:sz w:val="26"/>
              </w:rPr>
              <w:t>- 28 ngày kể từ ngày nhận được hồ sơ đầy đủ, đúng quy định.
- 03 tháng trong trường hợp số lượng tần số vô tuyến điện cần phải ấn định vượt quá 100 tần số trong một hồ sơ hoặc vượt quá 100 tần số trong các hồ sơ được gửi trong vòng 28 ngày của một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định của Bộ Tài chính)</w:t>
            </w:r>
          </w:p>
          <w:p>
            <w:pPr>
              <w:spacing w:after="0" w:before="0" w:lineRule="auto" w:line="276"/>
              <w:jc w:val="left"/>
            </w:pPr>
            <w:r>
              <w:rPr>
                <w:rFonts w:ascii="Times New Roman" w:hAnsi="Times New Roman" w:cs="Times New Roman" w:eastAsia="Times New Roman"/>
                <w:b w:val="false"/>
                <w:sz w:val="26"/>
              </w:rPr>
              <w:t>Lệ phí :  Đồng</w:t>
              <w:t xml:space="preserve"> (Theo quy định của Bộ Tài chính)</w:t>
            </w:r>
          </w:p>
        </w:tc>
        <w:tc>
          <w:p/>
          <w:p>
            <w:pPr>
              <w:spacing w:after="0" w:before="0" w:lineRule="auto" w:line="276"/>
              <w:jc w:val="left"/>
            </w:pPr>
            <w:r>
              <w:rPr>
                <w:rFonts w:ascii="Times New Roman" w:hAnsi="Times New Roman" w:cs="Times New Roman" w:eastAsia="Times New Roman"/>
                <w:b w:val="false"/>
                <w:sz w:val="26"/>
              </w:rPr>
              <w:t>- 28 ngày kể từ ngày nhận được hồ sơ đầy đủ, đúng quy định.
- 03 tháng trong trường hợp số lượng tần số vô tuyến điện cần phải ấn định vượt quá 100 tần số trong một hồ sơ hoặc vượt quá 100 tần số trong các hồ sơ được gửi trong vòng 28 ngày của một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Số lượng hồ sơ: 01 bộ.</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thông tin chung và Bản khai thông số kỹ thuật, khai thác đối với mạng thông tin vô tuyến điện nội bộ theo Mẫu 1g2 quy định tại Phụ lục II của Nghị định số 63/2023/NĐ-CP; (Tổ chức, cá nhân đã được cơ quan có thẩm quyền cấp tài khoản định danh điện tử khi nộp hồ sơ đề nghị cấp giấy phép qua hệ thống dịch vụ công trực tuyến thì không yêu cầu nộp bản sao điện tử hợp pháp các giấy tờ Căn cước công dân hoặc Hộ chiếu còn thời hạn hoặc Giấy chứng nhận đăng ký hộ kinh doanh. Đối với hồ sơ nộp trực tiếp hoặc qua đường bưu chính: tổ chức, cá nhân không phải nộp tài liệu trong hồ sơ quy định tại khoản 2, điểm b khoản 3 Điều 6 Nghị định số 63/2023/NĐ-CP về Căn cước công dân hoặc Giấy chứng minh nhân dân hoặc Giấy chứng nhận đăng ký hộ kinh doanh hoặc Giấy chứng nhận đăng ký doanh nghiệp khi cơ quan cấp giấy phép sử dụng tần số vô tuyến điện tra cứu được các thông tin này tại Cơ sở dữ liệu quốc gia về dân cư, Cơ sở dữ liệu quốc gia về đăng ký doanh nghiệp. Thời điểm áp dụng cụ thể quy định này được công bố công khai trên trang thông tin điện tử của cơ quan cấp giấy phép sử dụng tần số vô tuyến điện).</w:t>
            </w:r>
          </w:p>
        </w:tc>
        <w:tc>
          <w:p/>
          <w:p>
            <w:pPr>
              <w:spacing w:after="0" w:before="0" w:lineRule="auto" w:line="276"/>
              <w:jc w:val="left"/>
            </w:pPr>
            <w:r>
              <w:rPr>
                <w:rFonts w:ascii="Times New Roman" w:hAnsi="Times New Roman" w:cs="Times New Roman" w:eastAsia="Times New Roman"/>
                <w:b w:val="false"/>
                <w:sz w:val="26"/>
              </w:rPr>
              <w:t>Mau 1g2.ND63.tan so.docx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pháp hoặc bản sao điện tử hợp pháp Căn cước công dân hoặc Giấy chứng minh nhân dân hoặc Hộ chiếu còn thời hạn (áp dụng đối với cá nhân); Bản sao hợp pháp hoặc bản sao điện tử hợp pháp Giấy chứng nhận đăng ký hộ kinh doanh (áp dụng đối với hộ kinh doanh).  (Tổ chức, cá nhân đã được cơ quan có thẩm quyền cấp tài khoản định danh điện tử khi nộp hồ sơ đề nghị cấp giấy phép qua hệ thống dịch vụ công trực tuyến thì không yêu cầu nộp bản sao điện tử hợp pháp các giấy tờ Căn cước công dân hoặc Hộ chiếu còn thời hạn hoặc Giấy chứng nhận đăng ký hộ kinh doanh. Đối với hồ sơ nộp trực tiếp hoặc qua đường bưu chính: tổ chức, cá nhân không phải nộp tài liệu trong hồ sơ quy định tại khoản 2, điểm b khoản 3 Điều 6 Nghị định số 63/2023/NĐ-CP về Căn cước công dân hoặc Giấy chứng minh nhân dân hoặc Giấy chứng nhận đăng ký hộ kinh doanh hoặc Giấy chứng nhận đăng ký doanh nghiệp khi cơ quan cấp giấy phép sử dụng tần số vô tuyến điện tra cứu được các thông tin này tại Cơ sở dữ liệu quốc gia về dân cư, Cơ sở dữ liệu quốc gia về đăng ký doanh nghiệp. Thời điểm áp dụng cụ thể quy định này được công bố công khai trên trang thông tin điện tử của cơ quan cấp giấy phép sử dụng tần số vô tuyến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liên quan đến hồ sơ đề nghị cấp phép (Trong trường hợp cơ quan cấp giấy phép cần phải xác minh lại thông tin trong bản khai đề nghị cấp phép để ấn định tần số vô tuyến điện và cấp giấy phép) theo quy định tại khoản 4 Điều 4 Nghị định số 63/2023/NĐ-CP.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(mẫu 1g2 phụ lục III ban hành theo Nghị định 63/2023/NĐ-CP)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265/2016/TT-BTC</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tc>
      </w:tr>
      <w:tr>
        <w:tc>
          <w:p/>
          <w:p>
            <w:pPr>
              <w:spacing w:after="0" w:before="0" w:lineRule="auto" w:line="276"/>
              <w:jc w:val="left"/>
            </w:pPr>
            <w:r>
              <w:rPr>
                <w:rFonts w:ascii="Times New Roman" w:hAnsi="Times New Roman" w:cs="Times New Roman" w:eastAsia="Times New Roman"/>
                <w:b w:val="false"/>
                <w:sz w:val="26"/>
              </w:rPr>
              <w:t>11/2022/TT-BTC</w:t>
            </w:r>
          </w:p>
        </w:tc>
        <w:tc>
          <w:p/>
          <w:p>
            <w:pPr>
              <w:spacing w:after="0" w:before="0" w:lineRule="auto" w:line="276"/>
              <w:jc w:val="left"/>
            </w:pPr>
            <w:r>
              <w:rPr>
                <w:rFonts w:ascii="Times New Roman" w:hAnsi="Times New Roman" w:cs="Times New Roman" w:eastAsia="Times New Roman"/>
                <w:b w:val="false"/>
                <w:sz w:val="26"/>
              </w:rPr>
              <w:t>Thông tư số 11/2022/TT-BTC ngày 21/02/2022 của Bộ trưởng Bộ Tài chính</w:t>
            </w:r>
          </w:p>
        </w:tc>
        <w:tc>
          <w:p/>
          <w:p>
            <w:pPr>
              <w:spacing w:after="0" w:before="0" w:lineRule="auto" w:line="276"/>
              <w:jc w:val="left"/>
            </w:pPr>
            <w:r>
              <w:rPr>
                <w:rFonts w:ascii="Times New Roman" w:hAnsi="Times New Roman" w:cs="Times New Roman" w:eastAsia="Times New Roman"/>
                <w:b w:val="false"/>
                <w:sz w:val="26"/>
              </w:rPr>
              <w:t>21-02-2022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63/2023/NĐ-CP</w:t>
            </w:r>
          </w:p>
        </w:tc>
        <w:tc>
          <w:p/>
          <w:p>
            <w:pPr>
              <w:spacing w:after="0" w:before="0" w:lineRule="auto" w:line="276"/>
              <w:jc w:val="left"/>
            </w:pPr>
            <w:r>
              <w:rPr>
                <w:rFonts w:ascii="Times New Roman" w:hAnsi="Times New Roman" w:cs="Times New Roman" w:eastAsia="Times New Roman"/>
                <w:b w:val="false"/>
                <w:sz w:val="26"/>
              </w:rPr>
              <w:t>Nghị định số 63/2023/NĐ-CP của Chính phủ</w:t>
            </w:r>
          </w:p>
        </w:tc>
        <w:tc>
          <w:p/>
          <w:p>
            <w:pPr>
              <w:spacing w:after="0" w:before="0" w:lineRule="auto" w:line="276"/>
              <w:jc w:val="left"/>
            </w:pPr>
            <w:r>
              <w:rPr>
                <w:rFonts w:ascii="Times New Roman" w:hAnsi="Times New Roman" w:cs="Times New Roman" w:eastAsia="Times New Roman"/>
                <w:b w:val="false"/>
                <w:sz w:val="26"/>
              </w:rPr>
              <w:t>18-08-2023</w:t>
            </w:r>
          </w:p>
        </w:tc>
        <w:tc>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43/2023/TT-BTC</w:t>
            </w:r>
          </w:p>
        </w:tc>
        <w:tc>
          <w:p/>
          <w:p>
            <w:pPr>
              <w:spacing w:after="0" w:before="0" w:lineRule="auto" w:line="276"/>
              <w:jc w:val="left"/>
            </w:pPr>
            <w:r>
              <w:rPr>
                <w:rFonts w:ascii="Times New Roman" w:hAnsi="Times New Roman" w:cs="Times New Roman" w:eastAsia="Times New Roman"/>
                <w:b w:val="false"/>
                <w:sz w:val="26"/>
              </w:rPr>
              <w:t>43/2023/TT-BTC</w:t>
            </w:r>
          </w:p>
        </w:tc>
        <w:tc>
          <w:p/>
          <w:p>
            <w:pPr>
              <w:spacing w:after="0" w:before="0" w:lineRule="auto" w:line="276"/>
              <w:jc w:val="left"/>
            </w:pPr>
            <w:r>
              <w:rPr>
                <w:rFonts w:ascii="Times New Roman" w:hAnsi="Times New Roman" w:cs="Times New Roman" w:eastAsia="Times New Roman"/>
                <w:b w:val="false"/>
                <w:sz w:val="26"/>
              </w:rPr>
              <w:t>27-06-2023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Sử dụng tần số và thiết bị vô tuyến điện vào mục đích và nghiệp vụ vô tuyến điện mà pháp luật không cấm;
- Có phương án sử dụng tần số vô tuyến điện khả thi, phù hợp quy hoạch tần số vô tuyến điện;
- Có thiết bị vô tuyến điện phù hợp quy chuẩn kỹ thuật về phát xạ vô tuyến điện, an toàn bức xạ vô tuyến điện và tương thích điện từ;
- Cam kết thực hiện quy định của pháp luật về bảo đảm an toàn, an ninh thông tin; kiểm tra, giải quyết nhiễu có hại và an toàn bức xạ vô tuyến điện.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2026-05-27T19:38:29Z</dcterms:created>
  <dc:creator>Apache POI</dc:creator>
</cp:coreProperties>
</file>