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1.010390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thi chứng chỉ bảo hiểm, chứng chỉ môi giới bảo hiểm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 Thí sinh đăng ký thi và nộp chi phí dự thi trên Hệ thống Quản lý thi chứng chỉ, hoặc:
+ Thí sinh đăng ký thi và nộp chi phí dự thi qua cơ sở đào tạo. Cơ sở đào tạo thực hiện đăng ký thi và nộp chi phí dự thi trên Hệ thống Quản lý thi chứng chỉ cho thí sinh đăng ký thi và nộp chi phí dự thi qua cơ sở đào tạo.
 + Thời gian: Thực hiện đăng ký thi trước ngày thi tối thiểu 10 ngày.
Bước 2: 
Danh sách thí sinh đủ điều kiện dự thi được thông báo trên Hệ thống Quản lý thi chứng chỉ trước ngày thi 03 ngày làm việc.
Bước 3: 
Thí sinh có tên trong danh sách thí sinh đủ điều kiện dự thi tham dự kỳ thi do Viện Phát triển bảo hiểm Việt Nam tổ chức.
Bước 4: 
Trong thời hạn 05 ngày làm việc kể từ ngày thi (đối với kỳ thi trên giấy) hoặc 03 ngày làm việc kể từ ngày thi (đối với kỳ thi trên máy tính), Viện Phát triển bảo hiểm Việt Nam thông báo Quyết định phê duyệt kết quả thi chứng chỉ bảo hiểm, chứng chỉ môi giới bảo hiểm qua Hệ thống Quản lý thi chứng chỉ cho thí sinh (trường hợp thí sinh đăng ký thi và nộp chi phí dự thi qua Hệ thống Quản lý thi chứng chỉ), cơ sở đào tạo.
Bước 5: 
Trong thời hạn 10 ngày kể từ ngày có Quyết định phê duyệt kết quả thi, Viện Phát triển bảo hiểm Việt Nam cấp chứng chỉ bảo hiểm, chứng chỉ môi giới bảo hiểm cho các thí sinh đăng ký thi và nộp chi phí dự thi qua Hệ thống Quản lý thi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Trực tuyến trên Hệ thống Quản lý thi chứng chỉ (https://vidi-e.mof.gov.vn/irt/)
+ Viện Phát triển bảo hiểm Việt Nam thông báo Quyết định phê duyệt kết quả thi chứng chỉ bảo hiểm, chứng chỉ môi giới bảo hiểm qua Hệ thống Quản lý thi chứng chỉ trong thời hạn 05 ngày làm việc kể từ ngày thi (đối với kỳ thi trên giấy) hoặc 03 ngày làm việc kể từ ngày thi (đối với kỳ thi trên máy tính).
+ Viện Phát triển bảo hiểm Việt Nam cấp chứng chỉ bảo hiểm, chứng chỉ môi giới bảo hiểm cho các thí sinh tự thực hiện việc đăng ký dự thi qua Hệ thống Quản lý thi chứng chỉ trong thời hạn 10 ngày kể từ ngày có Quyết định phê duyệt kết quả thi.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trên Hệ thống Quản lý thi chứng chỉ (https://vidi-e.mof.gov.vn/irt/)
+ Viện Phát triển bảo hiểm Việt Nam thông báo Quyết định phê duyệt kết quả thi chứng chỉ bảo hiểm, chứng chỉ môi giới bảo hiểm qua Hệ thống Quản lý thi chứng chỉ trong thời hạn 05 ngày làm việc kể từ ngày thi (đối với kỳ thi trên giấy) hoặc 03 ngày làm việc kể từ ngày thi (đối với kỳ thi trên máy tính).
+ Viện Phát triển bảo hiểm Việt Nam cấp chứng chỉ bảo hiểm, chứng chỉ môi giới bảo hiểm cho các thí sinh tự thực hiện việc đăng ký dự thi qua Hệ thống Quản lý thi chứng chỉ trong thời hạn 10 ngày kể từ ngày có Quyết định phê duyệt kết quả thi.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tuyến trên Hệ thống Quản lý thi chứng chỉ (https://vidi-e.mof.gov.vn/irt/)
+ Viện Phát triển bảo hiểm Việt Nam thông báo Quyết định phê duyệt kết quả thi chứng chỉ bảo hiểm, chứng chỉ môi giới bảo hiểm qua Hệ thống Quản lý thi chứng chỉ trong thời hạn 05 ngày làm việc kể từ ngày thi (đối với kỳ thi trên giấy) hoặc 03 ngày làm việc kể từ ngày thi (đối với kỳ thi trên máy tính).
+ Viện Phát triển bảo hiểm Việt Nam cấp chứng chỉ bảo hiểm, chứng chỉ môi giới bảo hiểm cho các thí sinh tự thực hiện việc đăng ký dự thi qua Hệ thống Quản lý thi chứng chỉ trong thời hạn 10 ngày kể từ ngày có Quyết định phê duyệt kết quả thi.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thi (phụ lục số 1a ban hành kèm theo Thông tư số 85/2024/TT-BTC)</w:t>
            </w:r>
          </w:p>
        </w:tc>
        <w:tc>
          <w:p/>
          <w:p>
            <w:pPr>
              <w:spacing w:after="0" w:before="0" w:lineRule="auto" w:line="276"/>
              <w:jc w:val="left"/>
            </w:pPr>
            <w:r>
              <w:rPr>
                <w:rFonts w:ascii="Times New Roman" w:hAnsi="Times New Roman" w:cs="Times New Roman" w:eastAsia="Times New Roman"/>
                <w:b w:val="false"/>
                <w:sz w:val="26"/>
              </w:rPr>
              <w:t>Phlcs1a.docx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bảo hiểm, chứng chỉ môi giới bảo hiểm do Viện Phát triển bảo hiểm Việt Nam cấp (trường hợp thí sinh đăng ký thi và nộp chi phí dự thi trên Hệ thống Quản lý thi chứng chỉ), Quyết định phê duyệt kết quả thi chứng chỉ bảo hiểm, chứng chỉ môi giới bảo hiểm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24/2000/QH10</w:t>
            </w:r>
          </w:p>
        </w:tc>
        <w:tc>
          <w:p/>
          <w:p>
            <w:pPr>
              <w:spacing w:after="0" w:before="0" w:lineRule="auto" w:line="276"/>
              <w:jc w:val="left"/>
            </w:pPr>
            <w:r>
              <w:rPr>
                <w:rFonts w:ascii="Times New Roman" w:hAnsi="Times New Roman" w:cs="Times New Roman" w:eastAsia="Times New Roman"/>
                <w:b w:val="false"/>
                <w:sz w:val="26"/>
              </w:rPr>
              <w:t>Kinh doanh bảo hiểm</w:t>
            </w:r>
          </w:p>
        </w:tc>
        <w:tc>
          <w:p/>
          <w:p>
            <w:pPr>
              <w:spacing w:after="0" w:before="0" w:lineRule="auto" w:line="276"/>
              <w:jc w:val="left"/>
            </w:pPr>
            <w:r>
              <w:rPr>
                <w:rFonts w:ascii="Times New Roman" w:hAnsi="Times New Roman" w:cs="Times New Roman" w:eastAsia="Times New Roman"/>
                <w:b w:val="false"/>
                <w:sz w:val="26"/>
              </w:rPr>
              <w:t>09-12-2000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73/2016/NĐ-CP</w:t>
            </w:r>
          </w:p>
        </w:tc>
        <w:tc>
          <w:p/>
          <w:p>
            <w:pPr>
              <w:spacing w:after="0" w:before="0" w:lineRule="auto" w:line="276"/>
              <w:jc w:val="left"/>
            </w:pPr>
            <w:r>
              <w:rPr>
                <w:rFonts w:ascii="Times New Roman" w:hAnsi="Times New Roman" w:cs="Times New Roman" w:eastAsia="Times New Roman"/>
                <w:b w:val="false"/>
                <w:sz w:val="26"/>
              </w:rPr>
              <w:t>Quy định chi tiết thi hành Luật kinh doanh bảo hiểm và Luật 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50/2017/TT-BTC</w:t>
            </w:r>
          </w:p>
        </w:tc>
        <w:tc>
          <w:p/>
          <w:p>
            <w:pPr>
              <w:spacing w:after="0" w:before="0" w:lineRule="auto" w:line="276"/>
              <w:jc w:val="left"/>
            </w:pPr>
            <w:r>
              <w:rPr>
                <w:rFonts w:ascii="Times New Roman" w:hAnsi="Times New Roman" w:cs="Times New Roman" w:eastAsia="Times New Roman"/>
                <w:b w:val="false"/>
                <w:sz w:val="26"/>
              </w:rPr>
              <w:t>Hướng dẫn thi hành Nghị định số 73/2016/NĐ-CP ngày 01 tháng 7 năm 2016 của Chính phủ quy đinh chi tiết thi hành Luật Kinh doanh bảo hiểm và Luật 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15-05-2017</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Luật sửa đổi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61/2010/QH12</w:t>
            </w:r>
          </w:p>
        </w:tc>
        <w:tc>
          <w:p/>
          <w:p>
            <w:pPr>
              <w:spacing w:after="0" w:before="0" w:lineRule="auto" w:line="276"/>
              <w:jc w:val="left"/>
            </w:pPr>
            <w:r>
              <w:rPr>
                <w:rFonts w:ascii="Times New Roman" w:hAnsi="Times New Roman" w:cs="Times New Roman" w:eastAsia="Times New Roman"/>
                <w:b w:val="false"/>
                <w:sz w:val="26"/>
              </w:rPr>
              <w:t>Luật 61/2010/QH12</w:t>
            </w:r>
          </w:p>
        </w:tc>
        <w:tc>
          <w:p/>
          <w:p>
            <w:pPr>
              <w:spacing w:after="0" w:before="0" w:lineRule="auto" w:line="276"/>
              <w:jc w:val="left"/>
            </w:pPr>
            <w:r>
              <w:rPr>
                <w:rFonts w:ascii="Times New Roman" w:hAnsi="Times New Roman" w:cs="Times New Roman" w:eastAsia="Times New Roman"/>
                <w:b w:val="false"/>
                <w:sz w:val="26"/>
              </w:rPr>
              <w:t>24-11-2010</w:t>
            </w:r>
          </w:p>
        </w:tc>
        <w:tc>
          <w:p/>
        </w:tc>
      </w:tr>
      <w:tr>
        <w:tc>
          <w:p/>
          <w:p>
            <w:pPr>
              <w:spacing w:after="0" w:before="0" w:lineRule="auto" w:line="276"/>
              <w:jc w:val="left"/>
            </w:pPr>
            <w:r>
              <w:rPr>
                <w:rFonts w:ascii="Times New Roman" w:hAnsi="Times New Roman" w:cs="Times New Roman" w:eastAsia="Times New Roman"/>
                <w:b w:val="false"/>
                <w:sz w:val="26"/>
              </w:rPr>
              <w:t>65/2019/TT-BTC</w:t>
            </w:r>
          </w:p>
        </w:tc>
        <w:tc>
          <w:p/>
          <w:p>
            <w:pPr>
              <w:spacing w:after="0" w:before="0" w:lineRule="auto" w:line="276"/>
              <w:jc w:val="left"/>
            </w:pPr>
            <w:r>
              <w:rPr>
                <w:rFonts w:ascii="Times New Roman" w:hAnsi="Times New Roman" w:cs="Times New Roman" w:eastAsia="Times New Roman"/>
                <w:b w:val="false"/>
                <w:sz w:val="26"/>
              </w:rPr>
              <w:t>Thông tư 65/2019/TT-BTC</w:t>
            </w:r>
          </w:p>
        </w:tc>
        <w:tc>
          <w:p/>
          <w:p>
            <w:pPr>
              <w:spacing w:after="0" w:before="0" w:lineRule="auto" w:line="276"/>
              <w:jc w:val="left"/>
            </w:pPr>
            <w:r>
              <w:rPr>
                <w:rFonts w:ascii="Times New Roman" w:hAnsi="Times New Roman" w:cs="Times New Roman" w:eastAsia="Times New Roman"/>
                <w:b w:val="false"/>
                <w:sz w:val="26"/>
              </w:rPr>
              <w:t>16-09-2019</w:t>
            </w:r>
          </w:p>
        </w:tc>
        <w:tc>
          <w:p/>
        </w:tc>
      </w:tr>
      <w:tr>
        <w:tc>
          <w:p/>
          <w:p>
            <w:pPr>
              <w:spacing w:after="0" w:before="0" w:lineRule="auto" w:line="276"/>
              <w:jc w:val="left"/>
            </w:pPr>
            <w:r>
              <w:rPr>
                <w:rFonts w:ascii="Times New Roman" w:hAnsi="Times New Roman" w:cs="Times New Roman" w:eastAsia="Times New Roman"/>
                <w:b w:val="false"/>
                <w:sz w:val="26"/>
              </w:rPr>
              <w:t>Thông tư số 85/2024/TT-BTC</w:t>
            </w:r>
          </w:p>
        </w:tc>
        <w:tc>
          <w:p/>
          <w:p>
            <w:pPr>
              <w:spacing w:after="0" w:before="0" w:lineRule="auto" w:line="276"/>
              <w:jc w:val="left"/>
            </w:pPr>
            <w:r>
              <w:rPr>
                <w:rFonts w:ascii="Times New Roman" w:hAnsi="Times New Roman" w:cs="Times New Roman" w:eastAsia="Times New Roman"/>
                <w:b w:val="false"/>
                <w:sz w:val="26"/>
              </w:rPr>
              <w:t>Thông tư số 85/2024/TT-BTC ngày 29/11/2024 của Bộ Tài chính sửa đổi, bổ sung một số điều của Thông tư số 69/2022/TT-BTC ngày 16/11/2022 của Bộ Tài chính quy định chi tiết về chứng chỉ bảo hiểm, chứng chỉ đại lý bảo hiểm, chứng chỉ môi giới bảo hiểm, chứng chỉ về phụ trợ bảo hiểm.</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151/2025/TT-BTC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69/2022/TT-BTC ngày 16 tháng 11 năm 2022 của Bộ trưởng Bộ Tài chính quy định chi tiết về chứng chỉ bảo hiểm, chứng chỉ đại lý bảo hiểm, chứng chỉ môi giới bảo hiểm, chứng chỉ về phụ trợ bảo hiểm được sửa đổi, bổ sung bởi Thông tư số 85/2024/TT-BTС</w:t>
            </w:r>
          </w:p>
        </w:tc>
        <w:tc>
          <w:p/>
          <w:p>
            <w:pPr>
              <w:spacing w:after="0" w:before="0" w:lineRule="auto" w:line="276"/>
              <w:jc w:val="left"/>
            </w:pPr>
            <w:r>
              <w:rPr>
                <w:rFonts w:ascii="Times New Roman" w:hAnsi="Times New Roman" w:cs="Times New Roman" w:eastAsia="Times New Roman"/>
                <w:b w:val="false"/>
                <w:sz w:val="26"/>
              </w:rPr>
              <w:t>31-01-2026</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2026-05-21T16:21:09Z</dcterms:created>
  <dc:creator>Apache POI</dc:creator>
</cp:coreProperties>
</file>