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2.000885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517/QĐ-BTP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thành lập chi nhánh của công ty luật nước ngoài tại Việt Nam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Luật sư</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Công ty luật nước ngoài tại Việt Nam lập 01 bộ hồ sơ đề nghị thành lập chi nhánh gửi trực tiếp hoặc qua dịch vụ bưu chính đến Cục Bổ trợ tư pháp, Bộ Tư pháp hoặc trực tuyến trên Cổng dịch vụ công quốc gia.</w:t>
      </w:r>
    </w:p>
    <w:p>
      <w:pPr>
        <w:spacing w:after="0" w:before="0" w:lineRule="auto" w:line="276"/>
        <w:jc w:val="both"/>
      </w:pPr>
      <w:r>
        <w:rPr>
          <w:rFonts w:ascii="Times New Roman" w:hAnsi="Times New Roman" w:cs="Times New Roman" w:eastAsia="Times New Roman"/>
          <w:b w:val="false"/>
          <w:sz w:val="26"/>
        </w:rPr>
        <w:t>Trong thời hạn 15 ngày làm việc kể từ ngày nhận đủ hồ sơ hợp lệ và phí thẩm định tiêu chuẩn, điều kiện hành nghề của chi nhánh của công ty luật nước ngoài tại Việt Nam, Cục trưởng Cục Bổ trợ tư pháp, Bộ Tư pháp xem xét cấp Giấy phép thành lập chi nhánh; trường hợp từ chối phải thông báo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Lệ phí : 3.000.000 Đồng</w:t>
              <w:t xml:space="preserve"> ((áp dụng mức phí 1.500.000 đồng/hồ sơ kể từ ngày 01/7/2025 đến hết ngày 31/12/2026 theo Thông tư số 64/2025/TT-BTC).)</w:t>
            </w:r>
          </w:p>
        </w:tc>
        <w:tc>
          <w:p/>
          <w:p>
            <w:pPr>
              <w:spacing w:after="0" w:before="0" w:lineRule="auto" w:line="276"/>
              <w:jc w:val="left"/>
            </w:pPr>
            <w:r>
              <w:rPr>
                <w:rFonts w:ascii="Times New Roman" w:hAnsi="Times New Roman" w:cs="Times New Roman" w:eastAsia="Times New Roman"/>
                <w:b w:val="false"/>
                <w:sz w:val="26"/>
              </w:rPr>
              <w:t>kể từ ngày nhận đủ hồ sơ hợp lệ và phí thẩm định tiêu chuẩn, điều kiện hành nghề của chi nhánh của công ty luật nước ngoài tại Việt Nam.</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Phí : 3.000.000 Đồng</w:t>
              <w:t xml:space="preserve"> ((áp dụng mức phí 1.500.000 đồng/hồ sơ kể từ ngày 01/7/2025 đến hết ngày 31/12/2026 theo Thông tư số 64/2025/TT-BTC).)</w:t>
            </w:r>
          </w:p>
        </w:tc>
        <w:tc>
          <w:p/>
          <w:p>
            <w:pPr>
              <w:spacing w:after="0" w:before="0" w:lineRule="auto" w:line="276"/>
              <w:jc w:val="left"/>
            </w:pPr>
            <w:r>
              <w:rPr>
                <w:rFonts w:ascii="Times New Roman" w:hAnsi="Times New Roman" w:cs="Times New Roman" w:eastAsia="Times New Roman"/>
                <w:b w:val="false"/>
                <w:sz w:val="26"/>
              </w:rPr>
              <w:t>kể từ ngày nhận đủ hồ sơ hợp lệ và phí thẩm định tiêu chuẩn, điều kiện hành nghề của chi nhánh của công ty luật nước ngoài tại Việt Nam.</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Lệ phí : 3.000.000 Đồng</w:t>
              <w:t xml:space="preserve"> ((áp dụng mức phí 1.500.000 đồng/hồ sơ kể từ ngày 01/7/2025 đến hết ngày 31/12/2026 theo Thông tư số 64/2025/TT-BTC).)</w:t>
            </w:r>
          </w:p>
        </w:tc>
        <w:tc>
          <w:p/>
          <w:p>
            <w:pPr>
              <w:spacing w:after="0" w:before="0" w:lineRule="auto" w:line="276"/>
              <w:jc w:val="left"/>
            </w:pPr>
            <w:r>
              <w:rPr>
                <w:rFonts w:ascii="Times New Roman" w:hAnsi="Times New Roman" w:cs="Times New Roman" w:eastAsia="Times New Roman"/>
                <w:b w:val="false"/>
                <w:sz w:val="26"/>
              </w:rPr>
              <w:t>kể từ ngày nhận đủ hồ sơ hợp lệ và phí thẩm định tiêu chuẩn, điều kiện hành nghề của chi nhánh của công ty luật nước ngoài tại Việt Nam.</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thành lập chi nhánh</w:t>
            </w:r>
          </w:p>
        </w:tc>
        <w:tc>
          <w:p/>
          <w:p>
            <w:pPr>
              <w:spacing w:after="0" w:before="0" w:lineRule="auto" w:line="276"/>
              <w:jc w:val="left"/>
            </w:pPr>
            <w:r>
              <w:rPr>
                <w:rFonts w:ascii="Times New Roman" w:hAnsi="Times New Roman" w:cs="Times New Roman" w:eastAsia="Times New Roman"/>
                <w:b w:val="false"/>
                <w:sz w:val="26"/>
              </w:rPr>
              <w:t>Mauso08-PLIII-LS.docx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chính hoặc bản sao điện tử Giấy ủy quyền cho luật sư làm Trưởng chi nhánh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có chứng thực hoặc bản sao kèm theo bản chính để đối chiếu hoặc bản sao điện tử Giấy tờ chứng minh về trụ sở của chi nhánh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Bổ trợ tư pháp</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thành lập chi nhánh của công ty luật nước ngoài tại Việt Nam</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220/2016/TT-BTC</w:t>
            </w:r>
          </w:p>
        </w:tc>
        <w:tc>
          <w:p/>
          <w:p>
            <w:pPr>
              <w:spacing w:after="0" w:before="0" w:lineRule="auto" w:line="276"/>
              <w:jc w:val="left"/>
            </w:pPr>
            <w:r>
              <w:rPr>
                <w:rFonts w:ascii="Times New Roman" w:hAnsi="Times New Roman" w:cs="Times New Roman" w:eastAsia="Times New Roman"/>
                <w:b w:val="false"/>
                <w:sz w:val="26"/>
              </w:rPr>
              <w:t>Thông tư số 220/2016/TT-BTC của Bộ trưởng Bộ Tài chính ngày 10/11/2016 quy định mức thu, chế độ thu, nộp, quản lý phí, lệ phí trong lĩnh vực hoạt động luật sư</w:t>
            </w:r>
          </w:p>
        </w:tc>
        <w:tc>
          <w:p/>
          <w:p>
            <w:pPr>
              <w:spacing w:after="0" w:before="0" w:lineRule="auto" w:line="276"/>
              <w:jc w:val="left"/>
            </w:pPr>
            <w:r>
              <w:rPr>
                <w:rFonts w:ascii="Times New Roman" w:hAnsi="Times New Roman" w:cs="Times New Roman" w:eastAsia="Times New Roman"/>
                <w:b w:val="false"/>
                <w:sz w:val="26"/>
              </w:rPr>
              <w:t>10-11-2016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65/2006/QH11</w:t>
            </w:r>
          </w:p>
        </w:tc>
        <w:tc>
          <w:p/>
          <w:p>
            <w:pPr>
              <w:spacing w:after="0" w:before="0" w:lineRule="auto" w:line="276"/>
              <w:jc w:val="left"/>
            </w:pPr>
            <w:r>
              <w:rPr>
                <w:rFonts w:ascii="Times New Roman" w:hAnsi="Times New Roman" w:cs="Times New Roman" w:eastAsia="Times New Roman"/>
                <w:b w:val="false"/>
                <w:sz w:val="26"/>
              </w:rPr>
              <w:t>Luật 65/2006/QH11</w:t>
            </w:r>
          </w:p>
        </w:tc>
        <w:tc>
          <w:p/>
          <w:p>
            <w:pPr>
              <w:spacing w:after="0" w:before="0" w:lineRule="auto" w:line="276"/>
              <w:jc w:val="left"/>
            </w:pPr>
            <w:r>
              <w:rPr>
                <w:rFonts w:ascii="Times New Roman" w:hAnsi="Times New Roman" w:cs="Times New Roman" w:eastAsia="Times New Roman"/>
                <w:b w:val="false"/>
                <w:sz w:val="26"/>
              </w:rPr>
              <w:t>29-06-2006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 xml:space="preserve">Nghị định số 123/2013/NĐ-CP </w:t>
            </w:r>
          </w:p>
        </w:tc>
        <w:tc>
          <w:p/>
          <w:p>
            <w:pPr>
              <w:spacing w:after="0" w:before="0" w:lineRule="auto" w:line="276"/>
              <w:jc w:val="left"/>
            </w:pPr>
            <w:r>
              <w:rPr>
                <w:rFonts w:ascii="Times New Roman" w:hAnsi="Times New Roman" w:cs="Times New Roman" w:eastAsia="Times New Roman"/>
                <w:b w:val="false"/>
                <w:sz w:val="26"/>
              </w:rPr>
              <w:t>quy định chi tiết một số điều và biện pháp thi hành Luật Luật sư</w:t>
            </w:r>
          </w:p>
        </w:tc>
        <w:tc>
          <w:p/>
          <w:p>
            <w:pPr>
              <w:spacing w:after="0" w:before="0" w:lineRule="auto" w:line="276"/>
              <w:jc w:val="left"/>
            </w:pPr>
            <w:r>
              <w:rPr>
                <w:rFonts w:ascii="Times New Roman" w:hAnsi="Times New Roman" w:cs="Times New Roman" w:eastAsia="Times New Roman"/>
                <w:b w:val="false"/>
                <w:sz w:val="26"/>
              </w:rPr>
              <w:t>14-10-2013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64/2025/TT-BTC</w:t>
            </w:r>
          </w:p>
        </w:tc>
        <w:tc>
          <w:p/>
          <w:p>
            <w:pPr>
              <w:spacing w:after="0" w:before="0" w:lineRule="auto" w:line="276"/>
              <w:jc w:val="left"/>
            </w:pPr>
            <w:r>
              <w:rPr>
                <w:rFonts w:ascii="Times New Roman" w:hAnsi="Times New Roman" w:cs="Times New Roman" w:eastAsia="Times New Roman"/>
                <w:b w:val="false"/>
                <w:sz w:val="26"/>
              </w:rPr>
              <w:t>Thông tư quy định mức thu, miễn một số khoản phí, lệ phí nhằm hỗ trợ cho doanh nghiệp, người dân</w:t>
            </w:r>
          </w:p>
        </w:tc>
        <w:tc>
          <w:p/>
          <w:p>
            <w:pPr>
              <w:spacing w:after="0" w:before="0" w:lineRule="auto" w:line="276"/>
              <w:jc w:val="left"/>
            </w:pPr>
            <w:r>
              <w:rPr>
                <w:rFonts w:ascii="Times New Roman" w:hAnsi="Times New Roman" w:cs="Times New Roman" w:eastAsia="Times New Roman"/>
                <w:b w:val="false"/>
                <w:sz w:val="26"/>
              </w:rPr>
              <w:t>30-06-2025</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2026-05-23T16:28:15Z</dcterms:created>
  <dc:creator>Apache POI</dc:creator>
</cp:coreProperties>
</file>