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4547/QĐ-NHCS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thế chấp tài sản gắn liền với đất hình thành trong tương lai đối với người vay vốn để mua, thuê mua nhà ở xã hội theo Nghị định số 100/2015/NĐ-CP ngày 20/10/2015 của Chính phủ về phát triển và quản lý nhà ở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vay vốn xuất trình bản gốc Hợp đồng mua/thuê mua nhà ở xã hội (mẫu số 01 và 03 tại Phụ lục III ban hành kèm theo Thông tư số 09/2021/TT-BXD của Bộ Xây dựng), Giấy tờ chứng minh đã đóng tiền cho Chủ đầu tư để mua/thuê mua nhà ở xã hội theo Hợp đồng đã ký cho NHCSXH nơi thực hiện thủ tục.</w:t>
      </w:r>
    </w:p>
    <w:p>
      <w:pPr>
        <w:spacing w:after="0" w:before="0" w:lineRule="auto" w:line="276"/>
        <w:jc w:val="both"/>
      </w:pPr>
      <w:r>
        <w:rPr>
          <w:rFonts w:ascii="Times New Roman" w:hAnsi="Times New Roman" w:cs="Times New Roman" w:eastAsia="Times New Roman"/>
          <w:b w:val="false"/>
          <w:sz w:val="26"/>
        </w:rPr>
        <w:t>Bước 2: Bên thế chấp và NHCSXH nơi thực hiện thủ tục tiến hành ký và công chứng Hợp đồng thế chấp tài sản (mẫu số 09/NƠXH) và đăng ký biện pháp bảo đảm; Ngân hàng lưu giữ Giấy chứng nhận đăng ký biện pháp bảo đảm.</w:t>
      </w:r>
    </w:p>
    <w:p>
      <w:pPr>
        <w:spacing w:after="0" w:before="0" w:lineRule="auto" w:line="276"/>
        <w:jc w:val="both"/>
      </w:pPr>
      <w:r>
        <w:rPr>
          <w:rFonts w:ascii="Times New Roman" w:hAnsi="Times New Roman" w:cs="Times New Roman" w:eastAsia="Times New Roman"/>
          <w:b w:val="false"/>
          <w:sz w:val="26"/>
        </w:rPr>
        <w:t>Bước 3: Khi người vay vốn đã trả tối đa 95% giá trị Hợp đồng mua, thuê mua nhà ở xã hội cho chủ đầu tư và bàn giao đưa vào sử dụng đối với mua nhà ở xã hội, NHCSXH nơi cho vay cùng chủ đầu tư, người vay vốn làm thủ tục cấp Giấy chứng nhận quyền sử dụng đất, quyền sở hữu nhà ở và tài sản khác gắn liền với đất đồng thời với thủ tục đăng ký thay đổi nội dung biện pháp bảo đảm đã đăng ký theo quy định của pháp luật tại cơ quan nhà nước có thẩm quyền. Ngay sau khi nhận được giấy hẹn trả kết quả do cơ quan có thẩm quyền cấp, người vay vốn và chủ đầu tư phải bàn giao cho NHCSXH nơi cho vay.</w:t>
      </w:r>
    </w:p>
    <w:p>
      <w:pPr>
        <w:spacing w:after="0" w:before="0" w:lineRule="auto" w:line="276"/>
        <w:jc w:val="both"/>
      </w:pPr>
      <w:r>
        <w:rPr>
          <w:rFonts w:ascii="Times New Roman" w:hAnsi="Times New Roman" w:cs="Times New Roman" w:eastAsia="Times New Roman"/>
          <w:b w:val="false"/>
          <w:sz w:val="26"/>
        </w:rPr>
        <w:t>Bước 4: Khi được cơ quan có thẩm quyền cấp Giấy chứng nhận quyền sử dụng đất, quyền sở hữu nhà ở và tài sản khác gắn liền với đất theo quy định của pháp luật, NHCSXH nơi cho vay cử cán bộ, phương tiện, bảo vệ để nhận, quản lý, vận chuyển và làm thủ tục lưu trữ, bảo quản trong kho trong ngày.</w:t>
      </w:r>
    </w:p>
    <w:p>
      <w:pPr>
        <w:spacing w:after="0" w:before="0" w:lineRule="auto" w:line="276"/>
        <w:jc w:val="both"/>
      </w:pPr>
      <w:r>
        <w:rPr>
          <w:rFonts w:ascii="Times New Roman" w:hAnsi="Times New Roman" w:cs="Times New Roman" w:eastAsia="Times New Roman"/>
          <w:b w:val="false"/>
          <w:sz w:val="26"/>
        </w:rPr>
        <w:t>Bước 5: Khi người vay vốn trả hết nợ (gốc, lãi), người vay viết Đơn yêu cầu xóa đăng ký thế chấp gửi NHCSXH nơi thực hiện thủ tục xác nhận, sau đó Ngân hàng trao trả hồ sơ pháp lý của tài sản thế chấp đã nhận của người vay vốn cho người vay vốn.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vay vốn cùng NHCSXH nơi thực hiện thủ tục thực hiện thủ tục thế chấp tài sản gắn liền với đất hình thành trong tương lai theo quy định. Người vay vốn phải trả toàn bộ chi phí, lệ phí: công chứng, đăng ký giao dịch bảo đảm, cấp Giấy chứng nhận quyền sử dụng đất, quyền sở hữu nhà ở và tài sản khác gắn liền với đất theo quy định.
Từ ngày NHCSXH nơi thực hiện thủ tục nhận được hồ sơ pháp lý của tài sản thế chấp của Bên thế chấp đến ngày Bên thế chấp cùng với ngân hàng nhận Giấy chứng nhận quyền sử dụng đất, quyền sở hữu nhà ở và tài sản khác gắn liền với đất.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Hợp đồng mua bán nhà ở xã hội (mẫu số 01 tại Phụ lục III ban hành kèm theo Thông tư số 09/2021/TT-BXD của Bộ Xây dựng)</w:t>
            </w:r>
          </w:p>
        </w:tc>
        <w:tc>
          <w:p/>
          <w:p>
            <w:pPr>
              <w:spacing w:after="0" w:before="0" w:lineRule="auto" w:line="276"/>
              <w:jc w:val="left"/>
            </w:pPr>
            <w:r>
              <w:rPr>
                <w:rFonts w:ascii="Times New Roman" w:hAnsi="Times New Roman" w:cs="Times New Roman" w:eastAsia="Times New Roman"/>
                <w:b w:val="false"/>
                <w:sz w:val="26"/>
              </w:rPr>
              <w:t>Mẫu số 01-Phụ lục-III.docx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Hoặc Hợp đồng thuê mua nhà ở xã hội (mẫu số 03 tại Phụ lục III ban hành kèm theo Thông tư số 09/2021/TT-BXD của Bộ Xây dựng): 01 bản chính (lưu NHCSXH nơi thực hiện thủ tục);</w:t>
            </w:r>
          </w:p>
        </w:tc>
        <w:tc>
          <w:p/>
          <w:p>
            <w:pPr>
              <w:spacing w:after="0" w:before="0" w:lineRule="auto" w:line="276"/>
              <w:jc w:val="left"/>
            </w:pPr>
            <w:r>
              <w:rPr>
                <w:rFonts w:ascii="Times New Roman" w:hAnsi="Times New Roman" w:cs="Times New Roman" w:eastAsia="Times New Roman"/>
                <w:b w:val="false"/>
                <w:sz w:val="26"/>
              </w:rPr>
              <w:t>Mẫu số 03-Phụ lục-III.docx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thế chấp tài sản (mẫu số 09/NƠXH); 04 bản chính (01 bản lưu NHCSXH nơi thực hiện thủ tục; 01 bản lưu người vay; 01 bản lưu cơ quan công chứng; 01 bản lưu Cơ quan có thẩm quyền đăng ký thế chấp quyền sử dụng đất, tài sản gắn liền với đất);</w:t>
            </w:r>
          </w:p>
        </w:tc>
        <w:tc>
          <w:p/>
          <w:p>
            <w:pPr>
              <w:spacing w:after="0" w:before="0" w:lineRule="auto" w:line="276"/>
              <w:jc w:val="left"/>
            </w:pPr>
            <w:r>
              <w:rPr>
                <w:rFonts w:ascii="Times New Roman" w:hAnsi="Times New Roman" w:cs="Times New Roman" w:eastAsia="Times New Roman"/>
                <w:b w:val="false"/>
                <w:sz w:val="26"/>
              </w:rPr>
              <w:t>09-NOXH-Hop dong the chap tai san (chuan).doc</w:t>
            </w:r>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Giấy tờ chứng minh đã đóng tiền cho Chủ đầu tư để mua/thuê mua nhà ở xã hội theo Hợp đồng đã ký: Bản chính (lưu NHCSXH nơi thực hiện thủ tục); - Giấy hẹn trả kết quả cấp Giấy chứng nhận quyền sử dụng đất, quyền sở hữu nhà và tài sản khác gắn liền với đất do cơ quan có thẩm quyền cấp: 01 bản chính (lưu NHCSXH nơi thực hiện thủ tục); - Giấy chứng nhận quyền sử dụng đất, quyền sở hữu nhà ở và tài sản khác gắn liền với đất: Bản chính (lưu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biện pháp bảo đảm đối với các tài sản theo quy định của pháp luật phải đăng ký biện pháp bảo đảm: 02 bản chính (01 bản người vay lưu giữ, 01 bản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bảo hiểm (nếu có) trong trường hợp pháp luật quy định về tài sản thế chấp phải mua bảo hiểm: 01 bản chính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 Cơ quan công chứng, Chủ đầu tư</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Hợp đồng thế chấp tài sản (mẫu số 09a/NƠXH), Giấy chứng nhận quyền sử dụng đất, quyền sở hữu nhà ở và tài sản khác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Bộ luật 91/2015/QH13</w:t>
            </w:r>
          </w:p>
        </w:tc>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24-11-2015</w:t>
            </w:r>
          </w:p>
        </w:tc>
        <w:tc>
          <w:p/>
        </w:tc>
      </w:tr>
      <w:tr>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16/2003/QĐ-TTg</w:t>
            </w:r>
          </w:p>
        </w:tc>
        <w:tc>
          <w:p/>
          <w:p>
            <w:pPr>
              <w:spacing w:after="0" w:before="0" w:lineRule="auto" w:line="276"/>
              <w:jc w:val="left"/>
            </w:pPr>
            <w:r>
              <w:rPr>
                <w:rFonts w:ascii="Times New Roman" w:hAnsi="Times New Roman" w:cs="Times New Roman" w:eastAsia="Times New Roman"/>
                <w:b w:val="false"/>
                <w:sz w:val="26"/>
              </w:rPr>
              <w:t>22-01-2003</w:t>
            </w:r>
          </w:p>
        </w:tc>
        <w:tc>
          <w:p/>
        </w:tc>
      </w:tr>
      <w:tr>
        <w:tc>
          <w:p/>
          <w:p>
            <w:pPr>
              <w:spacing w:after="0" w:before="0" w:lineRule="auto" w:line="276"/>
              <w:jc w:val="left"/>
            </w:pPr>
            <w:r>
              <w:rPr>
                <w:rFonts w:ascii="Times New Roman" w:hAnsi="Times New Roman" w:cs="Times New Roman" w:eastAsia="Times New Roman"/>
                <w:b w:val="false"/>
                <w:sz w:val="26"/>
              </w:rPr>
              <w:t>65/2014/QH13</w:t>
            </w:r>
          </w:p>
        </w:tc>
        <w:tc>
          <w:p/>
          <w:p>
            <w:pPr>
              <w:spacing w:after="0" w:before="0" w:lineRule="auto" w:line="276"/>
              <w:jc w:val="left"/>
            </w:pPr>
            <w:r>
              <w:rPr>
                <w:rFonts w:ascii="Times New Roman" w:hAnsi="Times New Roman" w:cs="Times New Roman" w:eastAsia="Times New Roman"/>
                <w:b w:val="false"/>
                <w:sz w:val="26"/>
              </w:rPr>
              <w:t>Luật 65/2014/QH13</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26/2015/TT-NHNN</w:t>
            </w:r>
          </w:p>
        </w:tc>
        <w:tc>
          <w:p/>
          <w:p>
            <w:pPr>
              <w:spacing w:after="0" w:before="0" w:lineRule="auto" w:line="276"/>
              <w:jc w:val="left"/>
            </w:pPr>
            <w:r>
              <w:rPr>
                <w:rFonts w:ascii="Times New Roman" w:hAnsi="Times New Roman" w:cs="Times New Roman" w:eastAsia="Times New Roman"/>
                <w:b w:val="false"/>
                <w:sz w:val="26"/>
              </w:rPr>
              <w:t>Thông tư 26/2015/TT-NHNN</w:t>
            </w:r>
          </w:p>
        </w:tc>
        <w:tc>
          <w:p/>
          <w:p>
            <w:pPr>
              <w:spacing w:after="0" w:before="0" w:lineRule="auto" w:line="276"/>
              <w:jc w:val="left"/>
            </w:pPr>
            <w:r>
              <w:rPr>
                <w:rFonts w:ascii="Times New Roman" w:hAnsi="Times New Roman" w:cs="Times New Roman" w:eastAsia="Times New Roman"/>
                <w:b w:val="false"/>
                <w:sz w:val="26"/>
              </w:rPr>
              <w:t>09-12-2015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102/2017/NĐ-CP</w:t>
            </w:r>
          </w:p>
        </w:tc>
        <w:tc>
          <w:p/>
          <w:p>
            <w:pPr>
              <w:spacing w:after="0" w:before="0" w:lineRule="auto" w:line="276"/>
              <w:jc w:val="left"/>
            </w:pPr>
            <w:r>
              <w:rPr>
                <w:rFonts w:ascii="Times New Roman" w:hAnsi="Times New Roman" w:cs="Times New Roman" w:eastAsia="Times New Roman"/>
                <w:b w:val="false"/>
                <w:sz w:val="26"/>
              </w:rPr>
              <w:t>Về đăng ký biện pháp bảo đảm</w:t>
            </w:r>
          </w:p>
        </w:tc>
        <w:tc>
          <w:p/>
          <w:p>
            <w:pPr>
              <w:spacing w:after="0" w:before="0" w:lineRule="auto" w:line="276"/>
              <w:jc w:val="left"/>
            </w:pPr>
            <w:r>
              <w:rPr>
                <w:rFonts w:ascii="Times New Roman" w:hAnsi="Times New Roman" w:cs="Times New Roman" w:eastAsia="Times New Roman"/>
                <w:b w:val="false"/>
                <w:sz w:val="26"/>
              </w:rPr>
              <w:t>01-09-2017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78/2002/NĐ-CP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99/2015/NĐ-CP</w:t>
            </w:r>
          </w:p>
        </w:tc>
        <w:tc>
          <w:p/>
          <w:p>
            <w:pPr>
              <w:spacing w:after="0" w:before="0" w:lineRule="auto" w:line="276"/>
              <w:jc w:val="left"/>
            </w:pPr>
            <w:r>
              <w:rPr>
                <w:rFonts w:ascii="Times New Roman" w:hAnsi="Times New Roman" w:cs="Times New Roman" w:eastAsia="Times New Roman"/>
                <w:b w:val="false"/>
                <w:sz w:val="26"/>
              </w:rPr>
              <w:t>Nghị định 99/2015/NĐ-CP</w:t>
            </w:r>
          </w:p>
        </w:tc>
        <w:tc>
          <w:p/>
          <w:p>
            <w:pPr>
              <w:spacing w:after="0" w:before="0" w:lineRule="auto" w:line="276"/>
              <w:jc w:val="left"/>
            </w:pPr>
            <w:r>
              <w:rPr>
                <w:rFonts w:ascii="Times New Roman" w:hAnsi="Times New Roman" w:cs="Times New Roman" w:eastAsia="Times New Roman"/>
                <w:b w:val="false"/>
                <w:sz w:val="26"/>
              </w:rPr>
              <w:t>20-10-2015</w:t>
            </w:r>
          </w:p>
        </w:tc>
        <w:tc>
          <w:p/>
        </w:tc>
      </w:tr>
      <w:tr>
        <w:tc>
          <w:p/>
          <w:p>
            <w:pPr>
              <w:spacing w:after="0" w:before="0" w:lineRule="auto" w:line="276"/>
              <w:jc w:val="left"/>
            </w:pPr>
            <w:r>
              <w:rPr>
                <w:rFonts w:ascii="Times New Roman" w:hAnsi="Times New Roman" w:cs="Times New Roman" w:eastAsia="Times New Roman"/>
                <w:b w:val="false"/>
                <w:sz w:val="26"/>
              </w:rPr>
              <w:t>49/2021/NĐ-CP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100/2015/NĐ-CP ngày 20 tháng 10 năm 2015 của Chính phủ về phát triển và quản lý nhà ở xã hội</w:t>
            </w:r>
          </w:p>
        </w:tc>
        <w:tc>
          <w:p/>
          <w:p>
            <w:pPr>
              <w:spacing w:after="0" w:before="0" w:lineRule="auto" w:line="276"/>
              <w:jc w:val="left"/>
            </w:pPr>
            <w:r>
              <w:rPr>
                <w:rFonts w:ascii="Times New Roman" w:hAnsi="Times New Roman" w:cs="Times New Roman" w:eastAsia="Times New Roman"/>
                <w:b w:val="false"/>
                <w:sz w:val="26"/>
              </w:rPr>
              <w:t>01-04-2021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100/2015/NĐ-CP</w:t>
            </w:r>
          </w:p>
        </w:tc>
        <w:tc>
          <w:p/>
          <w:p>
            <w:pPr>
              <w:spacing w:after="0" w:before="0" w:lineRule="auto" w:line="276"/>
              <w:jc w:val="left"/>
            </w:pPr>
            <w:r>
              <w:rPr>
                <w:rFonts w:ascii="Times New Roman" w:hAnsi="Times New Roman" w:cs="Times New Roman" w:eastAsia="Times New Roman"/>
                <w:b w:val="false"/>
                <w:sz w:val="26"/>
              </w:rPr>
              <w:t>Nghị định 100/2015/NĐ-CP</w:t>
            </w:r>
          </w:p>
        </w:tc>
        <w:tc>
          <w:p/>
          <w:p>
            <w:pPr>
              <w:spacing w:after="0" w:before="0" w:lineRule="auto" w:line="276"/>
              <w:jc w:val="left"/>
            </w:pPr>
            <w:r>
              <w:rPr>
                <w:rFonts w:ascii="Times New Roman" w:hAnsi="Times New Roman" w:cs="Times New Roman" w:eastAsia="Times New Roman"/>
                <w:b w:val="false"/>
                <w:sz w:val="26"/>
              </w:rPr>
              <w:t>20-10-2015</w:t>
            </w:r>
          </w:p>
        </w:tc>
        <w:tc>
          <w:p/>
        </w:tc>
      </w:tr>
      <w:tr>
        <w:tc>
          <w:p/>
          <w:p>
            <w:pPr>
              <w:spacing w:after="0" w:before="0" w:lineRule="auto" w:line="276"/>
              <w:jc w:val="left"/>
            </w:pPr>
            <w:r>
              <w:rPr>
                <w:rFonts w:ascii="Times New Roman" w:hAnsi="Times New Roman" w:cs="Times New Roman" w:eastAsia="Times New Roman"/>
                <w:b w:val="false"/>
                <w:sz w:val="26"/>
              </w:rPr>
              <w:t>8586/NHCS-TDSV</w:t>
            </w:r>
          </w:p>
        </w:tc>
        <w:tc>
          <w:p/>
          <w:p>
            <w:pPr>
              <w:spacing w:after="0" w:before="0" w:lineRule="auto" w:line="276"/>
              <w:jc w:val="left"/>
            </w:pPr>
            <w:r>
              <w:rPr>
                <w:rFonts w:ascii="Times New Roman" w:hAnsi="Times New Roman" w:cs="Times New Roman" w:eastAsia="Times New Roman"/>
                <w:b w:val="false"/>
                <w:sz w:val="26"/>
              </w:rPr>
              <w:t>Hướng dẫn nghiệp vụ cho vay ưu đãi để mua, thuê mua nhà ở xã hội; xây dựng mới hoặc cải tạo, sửa chữa nhà để ở./.HH</w:t>
            </w:r>
          </w:p>
        </w:tc>
        <w:tc>
          <w:p/>
          <w:p>
            <w:pPr>
              <w:spacing w:after="0" w:before="0" w:lineRule="auto" w:line="276"/>
              <w:jc w:val="left"/>
            </w:pPr>
            <w:r>
              <w:rPr>
                <w:rFonts w:ascii="Times New Roman" w:hAnsi="Times New Roman" w:cs="Times New Roman" w:eastAsia="Times New Roman"/>
                <w:b w:val="false"/>
                <w:sz w:val="26"/>
              </w:rPr>
              <w:t>29-09-2021</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Tài sản thế chấp phải thuộc quyền sở hữu, quản lý, sử dụng, của bên thế chấp theo quy định pháp luật;
- Tài sản được phép giao dịch; Tại thời điểm thế chấp, tài sản thế chấp không có tranh chấp;
- Tài sản mà pháp luật quy định phải mua bảo hiểm thì bên thế chấp phải mua bảo hiểm tài sản trong thời hạn bảo đảm tiền vay. Bên thế chấp chịu trách nhiệm trước pháp luật về tính hợp pháp của tài sản bảo đảm tiền vay;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2026-05-19T11:45:13Z</dcterms:created>
  <dc:creator>Apache POI</dc:creator>
</cp:coreProperties>
</file>