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ngân đối với người vay vốn để mua, thuê mua nhà ở xã hội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viết Giấy đề nghị giải ngân (mẫu số 10/NƠXH) và gửi kèm bản gốc: Giấy đề nghị thanh toán hoặc thông báo nộp tiền của chủ đầu tư; Giấy tờ chứng minh đã đóng tiền cho chủ đầu tư để mua, thuê mua nhà ở xã hội theo Hợp đồng đã ký và Hợp đồng tín dụng (mẫu số 07a/NƠXH hoặc 07b/NƠXH).</w:t>
      </w:r>
    </w:p>
    <w:p>
      <w:pPr>
        <w:spacing w:after="0" w:before="0" w:lineRule="auto" w:line="276"/>
        <w:jc w:val="both"/>
      </w:pPr>
      <w:r>
        <w:rPr>
          <w:rFonts w:ascii="Times New Roman" w:hAnsi="Times New Roman" w:cs="Times New Roman" w:eastAsia="Times New Roman"/>
          <w:b w:val="false"/>
          <w:sz w:val="26"/>
        </w:rPr>
        <w:t>Bước 2. NHCSXH nơi thực hiện thủ tục
- Cán bộ Ngân hàng kiểm tra tính hợp lệ,hợp pháp của bộ hồ sơ, ký và trình Trưởng phòng Kế hoạch – Nghiệp vụ tín dụng/Tổ trưởng Kế hoạch - Nghiệp vụ kiểm soát, sau đó trình Giám đốc xem xét phê duyệt giải ngân;
- Ngân hàng căn cứ vào Giấy đề nghị giải ngân (mẫu số 10/NƠXH) và hồ sơ vay vốn Người vay gửi tiến hành giải ngân bằng chuyển khoản cho Chủ đầu tư, ghi đầy đủ các yếu tố về thông tin giải ngân và ký vào Phụ lục Hợp đồng tín dụng (mẫu số 07a/NƠXH hoặc 07b/NƠXH) do NHCSXH nơi thực hiện thủ tục và Người vay lưu giữ.</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NHCSXH nơi thực hiện  thủ tục.
Ngay sau khi NHCSXH nơi thực hiện thủ tục nhận được hồ sơ hợp pháp, hợp lệ của Người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giải ngân (mẫu số 10/NƠXH):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10-NOXH-Giay de nghi giai ngan (chuan).doc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thanh toán hoặc thông báo nộp tiền của chủ đầu tư: 01 bản gốc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Giấy tờ chứng minh đã đóng tiền cho chủ đầu tư: 01 bản gốc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tín dụng (mẫu số 7a/NƠXH hoặc 7b/NƠXH): Bản gốc (do Người vay giữ).</w:t>
            </w:r>
          </w:p>
        </w:tc>
        <w:tc>
          <w:p/>
          <w:p>
            <w:pPr>
              <w:spacing w:after="0" w:before="0" w:lineRule="auto" w:line="276"/>
              <w:jc w:val="left"/>
            </w:pPr>
            <w:r>
              <w:rPr>
                <w:rFonts w:ascii="Times New Roman" w:hAnsi="Times New Roman" w:cs="Times New Roman" w:eastAsia="Times New Roman"/>
                <w:b w:val="false"/>
                <w:sz w:val="26"/>
              </w:rPr>
              <w:t>07a-NOXH-Hop dong tin dung (mua).doc</w:t>
            </w:r>
          </w:p>
          <w:p>
            <w:pPr>
              <w:spacing w:after="0" w:before="0" w:lineRule="auto" w:line="276"/>
              <w:jc w:val="left"/>
            </w:pPr>
            <w:r>
              <w:rPr>
                <w:rFonts w:ascii="Times New Roman" w:hAnsi="Times New Roman" w:cs="Times New Roman" w:eastAsia="Times New Roman"/>
                <w:b w:val="false"/>
                <w:sz w:val="26"/>
              </w:rPr>
              <w:t>07b-NOXH- Hop dong tin dung(thue mua).doc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 (nếu giải ngân bằng chuyển khoản).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26/2015/TT-NHNN</w:t>
            </w:r>
          </w:p>
        </w:tc>
        <w:tc>
          <w:p/>
          <w:p>
            <w:pPr>
              <w:spacing w:after="0" w:before="0" w:lineRule="auto" w:line="276"/>
              <w:jc w:val="left"/>
            </w:pPr>
            <w:r>
              <w:rPr>
                <w:rFonts w:ascii="Times New Roman" w:hAnsi="Times New Roman" w:cs="Times New Roman" w:eastAsia="Times New Roman"/>
                <w:b w:val="false"/>
                <w:sz w:val="26"/>
              </w:rPr>
              <w:t>Thông tư 26/2015/TT-NHNN</w:t>
            </w:r>
          </w:p>
        </w:tc>
        <w:tc>
          <w:p/>
          <w:p>
            <w:pPr>
              <w:spacing w:after="0" w:before="0" w:lineRule="auto" w:line="276"/>
              <w:jc w:val="left"/>
            </w:pPr>
            <w:r>
              <w:rPr>
                <w:rFonts w:ascii="Times New Roman" w:hAnsi="Times New Roman" w:cs="Times New Roman" w:eastAsia="Times New Roman"/>
                <w:b w:val="false"/>
                <w:sz w:val="26"/>
              </w:rPr>
              <w:t>09-12-2015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8586/NHCS-TDSV</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xây dựng mới hoặc cải tạo, sửa chữa nhà để ở./.HH</w:t>
            </w:r>
          </w:p>
        </w:tc>
        <w:tc>
          <w:p/>
          <w:p>
            <w:pPr>
              <w:spacing w:after="0" w:before="0" w:lineRule="auto" w:line="276"/>
              <w:jc w:val="left"/>
            </w:pPr>
            <w:r>
              <w:rPr>
                <w:rFonts w:ascii="Times New Roman" w:hAnsi="Times New Roman" w:cs="Times New Roman" w:eastAsia="Times New Roman"/>
                <w:b w:val="false"/>
                <w:sz w:val="26"/>
              </w:rPr>
              <w:t>29-09-2021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vốn đã ký Hợp đồng tín dụng với NHCSXH nơi thực hiện thủ tục;
- Người vay vốn cùng chủ đầu tư ký Hợp đồng ba bên (mẫu số 08/NƠXH) với NHCSXH nơi thực hiện thủ tục;
- Bên thế chấp và NHCSXH nơi thực hiện thủ tục đã ký và công chứng Hợp đồng thế chấp tài sản (mẫu số 09/NƠXH);
- Người vay vốn, Bên thế chấp đã bàn giao cho NHCSXH nơi thực hiện thủ tục bản gốc Hồ sơ bảo đảm tiền vay;
- Người vay vốn phải cung cấp đầy đủ hồ sơ hợp pháp, hợp lệ đề nghị giải ngân cho NHCSXH nơi thực hiện thủ tục;
- Tại thời điểm giải ngân theo từng đợt, Người vay vốn đã thực hiện gửi đủ tiền tiết kiệm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2026-05-20T04:42:58Z</dcterms:created>
  <dc:creator>Apache POI</dc:creator>
</cp:coreProperties>
</file>