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4547/QĐ-NHCS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ngân đối với người vay vốn để xây dựng mới hoặc cải tạo, sửa chữa nhà để ở theo Nghị định số 100/2015/NĐ-CP ngày 20/10/2015 của Chính phủ về phát triển và quản lý nhà ở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 Viết Giấy đề nghị giải ngân (mẫu số 10/NƠXH); 
- Giấy tờ chứng minh nhân thân Người vay vốn nếu Người vay vốn đề nghị giải ngân bằng tiền mặt;
- Mang theo Hợp đồng tín dụng (mẫu số 7c/NƠXH) do người vay giữ và ký xác nhận vào Phụ lục Hợp đồng tín dụng, phần theo dõi cho vay - thu nợ.</w:t>
      </w:r>
    </w:p>
    <w:p>
      <w:pPr>
        <w:spacing w:after="0" w:before="0" w:lineRule="auto" w:line="276"/>
        <w:jc w:val="both"/>
      </w:pPr>
      <w:r>
        <w:rPr>
          <w:rFonts w:ascii="Times New Roman" w:hAnsi="Times New Roman" w:cs="Times New Roman" w:eastAsia="Times New Roman"/>
          <w:b w:val="false"/>
          <w:sz w:val="26"/>
        </w:rPr>
        <w:t>Bước 2. NHCSXH nơi thực hiện thủ tục
- Cán bộ Ngân hàng kiểm tra, kiểm soát Hồ sơ vay vốn, xem xét                    giải ngân;
- Tiền vay được NHCSXH nơi thực hiện thủ tục và người vay vốn thỏa thuận để thực hiện chuyển khoản trả cho đơn vị cung ứng vật tư hoặc chi tiền mặt theo đề nghị của người vay vốn; Ngân hàng kiểm tra, đối chiếu Giấy tờ chứng minh nhân thân Người vay vốn nếu chi bằng tiền mặt;
- Ngân hàng căn cứ vào Giấy đề nghị giải ngân (mẫu số 10/NƠXH) tiến hành giải ngân.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trụ sở NHCSXH nơi thực hiện thủ tục.
Ngay sau khi NHCSXH nơi thực hiện thủ tục nhận được hồ sơ hợp pháp, hợp lệ của Người vay.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giải ngân (mẫu số 10/NƠXH):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10-NOXH-Giay de nghi giai ngan (chuan).doc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nhân thân Người vay vốn nếu Người vay vốn đề nghị giải ngân bằng tiền mặt.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tín dụng (mẫu số 7c/NƠXH) do Người vay giữ.</w:t>
            </w:r>
          </w:p>
        </w:tc>
        <w:tc>
          <w:p/>
          <w:p>
            <w:pPr>
              <w:spacing w:after="0" w:before="0" w:lineRule="auto" w:line="276"/>
              <w:jc w:val="left"/>
            </w:pPr>
            <w:r>
              <w:rPr>
                <w:rFonts w:ascii="Times New Roman" w:hAnsi="Times New Roman" w:cs="Times New Roman" w:eastAsia="Times New Roman"/>
                <w:b w:val="false"/>
                <w:sz w:val="26"/>
              </w:rPr>
              <w:t>07c-NOXH-Hop dong tin dung (xay moi, sua chua).doc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chi (nếu giải ngân bằng tiền mặt), Ủy nhiệm chi (nếu giải ngân bằng chuyển khoản).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26/2015/TT-NHNN</w:t>
            </w:r>
          </w:p>
        </w:tc>
        <w:tc>
          <w:p/>
          <w:p>
            <w:pPr>
              <w:spacing w:after="0" w:before="0" w:lineRule="auto" w:line="276"/>
              <w:jc w:val="left"/>
            </w:pPr>
            <w:r>
              <w:rPr>
                <w:rFonts w:ascii="Times New Roman" w:hAnsi="Times New Roman" w:cs="Times New Roman" w:eastAsia="Times New Roman"/>
                <w:b w:val="false"/>
                <w:sz w:val="26"/>
              </w:rPr>
              <w:t>Thông tư 26/2015/TT-NHNN</w:t>
            </w:r>
          </w:p>
        </w:tc>
        <w:tc>
          <w:p/>
          <w:p>
            <w:pPr>
              <w:spacing w:after="0" w:before="0" w:lineRule="auto" w:line="276"/>
              <w:jc w:val="left"/>
            </w:pPr>
            <w:r>
              <w:rPr>
                <w:rFonts w:ascii="Times New Roman" w:hAnsi="Times New Roman" w:cs="Times New Roman" w:eastAsia="Times New Roman"/>
                <w:b w:val="false"/>
                <w:sz w:val="26"/>
              </w:rPr>
              <w:t>09-12-2015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Nghị định 99/2015/NĐ-CP</w:t>
            </w:r>
          </w:p>
        </w:tc>
        <w:tc>
          <w:p/>
          <w:p>
            <w:pPr>
              <w:spacing w:after="0" w:before="0" w:lineRule="auto" w:line="276"/>
              <w:jc w:val="left"/>
            </w:pPr>
            <w:r>
              <w:rPr>
                <w:rFonts w:ascii="Times New Roman" w:hAnsi="Times New Roman" w:cs="Times New Roman" w:eastAsia="Times New Roman"/>
                <w:b w:val="false"/>
                <w:sz w:val="26"/>
              </w:rPr>
              <w:t>20-10-2015</w:t>
            </w:r>
          </w:p>
        </w:tc>
        <w:tc>
          <w:p/>
        </w:tc>
      </w:tr>
      <w:tr>
        <w:tc>
          <w:p/>
          <w:p>
            <w:pPr>
              <w:spacing w:after="0" w:before="0" w:lineRule="auto" w:line="276"/>
              <w:jc w:val="left"/>
            </w:pPr>
            <w:r>
              <w:rPr>
                <w:rFonts w:ascii="Times New Roman" w:hAnsi="Times New Roman" w:cs="Times New Roman" w:eastAsia="Times New Roman"/>
                <w:b w:val="false"/>
                <w:sz w:val="26"/>
              </w:rPr>
              <w:t>49/2021/NĐ-CP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100/2015/NĐ-CP ngày 20 tháng 10 năm 2015 của Chính phủ về phát triển và quản lý nhà ở xã hội</w:t>
            </w:r>
          </w:p>
        </w:tc>
        <w:tc>
          <w:p/>
          <w:p>
            <w:pPr>
              <w:spacing w:after="0" w:before="0" w:lineRule="auto" w:line="276"/>
              <w:jc w:val="left"/>
            </w:pPr>
            <w:r>
              <w:rPr>
                <w:rFonts w:ascii="Times New Roman" w:hAnsi="Times New Roman" w:cs="Times New Roman" w:eastAsia="Times New Roman"/>
                <w:b w:val="false"/>
                <w:sz w:val="26"/>
              </w:rPr>
              <w:t>01-04-2021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100/2015/NĐ-CP</w:t>
            </w:r>
          </w:p>
        </w:tc>
        <w:tc>
          <w:p/>
          <w:p>
            <w:pPr>
              <w:spacing w:after="0" w:before="0" w:lineRule="auto" w:line="276"/>
              <w:jc w:val="left"/>
            </w:pPr>
            <w:r>
              <w:rPr>
                <w:rFonts w:ascii="Times New Roman" w:hAnsi="Times New Roman" w:cs="Times New Roman" w:eastAsia="Times New Roman"/>
                <w:b w:val="false"/>
                <w:sz w:val="26"/>
              </w:rPr>
              <w:t>Nghị định 100/2015/NĐ-CP</w:t>
            </w:r>
          </w:p>
        </w:tc>
        <w:tc>
          <w:p/>
          <w:p>
            <w:pPr>
              <w:spacing w:after="0" w:before="0" w:lineRule="auto" w:line="276"/>
              <w:jc w:val="left"/>
            </w:pPr>
            <w:r>
              <w:rPr>
                <w:rFonts w:ascii="Times New Roman" w:hAnsi="Times New Roman" w:cs="Times New Roman" w:eastAsia="Times New Roman"/>
                <w:b w:val="false"/>
                <w:sz w:val="26"/>
              </w:rPr>
              <w:t>20-10-2015</w:t>
            </w:r>
          </w:p>
        </w:tc>
        <w:tc>
          <w:p/>
        </w:tc>
      </w:tr>
      <w:tr>
        <w:tc>
          <w:p/>
          <w:p>
            <w:pPr>
              <w:spacing w:after="0" w:before="0" w:lineRule="auto" w:line="276"/>
              <w:jc w:val="left"/>
            </w:pPr>
            <w:r>
              <w:rPr>
                <w:rFonts w:ascii="Times New Roman" w:hAnsi="Times New Roman" w:cs="Times New Roman" w:eastAsia="Times New Roman"/>
                <w:b w:val="false"/>
                <w:sz w:val="26"/>
              </w:rPr>
              <w:t>8586/NHCS-TDSV</w:t>
            </w:r>
          </w:p>
        </w:tc>
        <w:tc>
          <w:p/>
          <w:p>
            <w:pPr>
              <w:spacing w:after="0" w:before="0" w:lineRule="auto" w:line="276"/>
              <w:jc w:val="left"/>
            </w:pPr>
            <w:r>
              <w:rPr>
                <w:rFonts w:ascii="Times New Roman" w:hAnsi="Times New Roman" w:cs="Times New Roman" w:eastAsia="Times New Roman"/>
                <w:b w:val="false"/>
                <w:sz w:val="26"/>
              </w:rPr>
              <w:t>Hướng dẫn nghiệp vụ cho vay ưu đãi để mua, thuê mua nhà ở xã hội; xây dựng mới hoặc cải tạo, sửa chữa nhà để ở./.HH</w:t>
            </w:r>
          </w:p>
        </w:tc>
        <w:tc>
          <w:p/>
          <w:p>
            <w:pPr>
              <w:spacing w:after="0" w:before="0" w:lineRule="auto" w:line="276"/>
              <w:jc w:val="left"/>
            </w:pPr>
            <w:r>
              <w:rPr>
                <w:rFonts w:ascii="Times New Roman" w:hAnsi="Times New Roman" w:cs="Times New Roman" w:eastAsia="Times New Roman"/>
                <w:b w:val="false"/>
                <w:sz w:val="26"/>
              </w:rPr>
              <w:t>29-09-2021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vay phải thuộc đối tượng được vay vốn theo quy định; 
- Người vay vốn phải cung cấp đầy đủ hồ sơ hợp pháp, hợp lệ đề nghị giải ngân cho NHCSXH nơi thực hiện thủ tục;
- Tại thời điểm giải ngân theo từng đợt, Người vay vốn đã thực hiện gửi đủ tiền tiết kiệm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2026-05-19T11:45:14Z</dcterms:created>
  <dc:creator>Apache POI</dc:creator>
</cp:coreProperties>
</file>