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1.009992.000.00.00.H32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dựng/điều chỉnh Báo cáo nghiên cứu khả thi đầu tư xây dựng (Trường hợp được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Báo cáo nghiên cứu khả thi đầu tư xây dựng/điều chỉnh Báo cáo nghiên cứu khả thi đầu tư xây dựng cho Bộ phận tiếp nhận và trả kết quả giải quyết TTHC thuộc Ủy ban nhân dân cấp huyện.</w:t>
      </w:r>
    </w:p>
    <w:p>
      <w:pPr>
        <w:spacing w:after="0" w:before="0" w:lineRule="auto" w:line="276"/>
        <w:jc w:val="both"/>
      </w:pPr>
      <w:r>
        <w:rPr>
          <w:rFonts w:ascii="Times New Roman" w:hAnsi="Times New Roman" w:cs="Times New Roman" w:eastAsia="Times New Roman"/>
          <w:b w:val="false"/>
          <w:sz w:val="26"/>
        </w:rPr>
        <w:t>- Trong thời hạn 05 ngày làm việc sau khi tiếp nhận hồ sơ, cơ quan chuyên môn về xây dựng có trách nhiệm:
+ Gửi văn bản yêu cầu bổ sung hồ sơ;
+ Trả lại hồ sơ thẩm định trong trường hợp: Trình thẩm định không đúng với thẩm quyền của cơ quan chuyên môn về xây dựng hoặc người đề nghị thẩm định không đúng thẩm quyền theo quy định tại Nghị định số 15/2021/NĐ-CP ngày 03/3/2021 của Chính phủ; Không thuộc đối tượng phải thẩm định tại cơ quan chuyên môn về xây dựng theo quy định; Hồ sơ trình thẩm định không bảo đảm về tính pháp lý hoặc không hợp lệ theo quy định tại Nghị định này;
+ Gửi văn bản đến các cơ quan có thẩm quyền về phòng cháy chữa cháy để thực hiện lấy ý kiến về giải pháp phòng cháy, chữa cháy của thiết kế cơ sở trong trường hợp chủ đầu tư có yêu cầu.</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của cơ quan chuyên môn về xây dựng, nếu người đề nghị thẩm định không thực hiện việc bổ sung hồ sơ thì cơ quan chuyên môn về xây dựng dừng việc thẩm định, người đề nghị thẩm định trình thẩm định lại khi có yêu cầu.
-</w:t>
      </w:r>
    </w:p>
    <w:p>
      <w:pPr>
        <w:spacing w:after="0" w:before="0" w:lineRule="auto" w:line="276"/>
        <w:jc w:val="both"/>
      </w:pPr>
      <w:r>
        <w:rPr>
          <w:rFonts w:ascii="Times New Roman" w:hAnsi="Times New Roman" w:cs="Times New Roman" w:eastAsia="Times New Roman"/>
          <w:b w:val="false"/>
          <w:sz w:val="26"/>
        </w:rPr>
        <w:t>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 Trường hợp các lỗi, sai sót nêu trên không thể khắc phục được trong thời hạn 20 ngày thì cơ quan chuyên môn về xây dựng dừng việc thẩm định, người đề nghị thẩm định trình thẩm định lại khi có yêu cầu</w:t>
      </w:r>
    </w:p>
    <w:p>
      <w:pPr>
        <w:spacing w:after="0" w:before="0" w:lineRule="auto" w:line="276"/>
        <w:jc w:val="both"/>
      </w:pPr>
      <w:r>
        <w:rPr>
          <w:rFonts w:ascii="Times New Roman" w:hAnsi="Times New Roman" w:cs="Times New Roman" w:eastAsia="Times New Roman"/>
          <w:b w:val="false"/>
          <w:sz w:val="26"/>
        </w:rPr>
        <w:t>- Trong thời gian không quá 35 ngày đối với dự án nhóm A, không quá 25 ngày đối với dự án nhóm B, không quá 15 ngày đối với dự án nhóm C kể từ ngày nhận đủ hồ sơ hợp lệ cơ quan chuyên môn về xây dựng ra thông báo kết quả thẩm định kèm theo hồ sơ bản vẽ được đóng dấu.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Dự án nhóm A không quá 35 ngày, dự án nhóm B không quá 25 ngày,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Dự án nhóm A không quá 35 ngày, dự án nhóm B không quá 25 ngày,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dựng/điều chỉnh Báo cáo nghiên cứu khả thi đầu tư xây dựng theo Mẫu số 1 Phụ lục 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To trinh tham dinh, dieu chinh bao cao nghien cuu kha thi dau tu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chủ trương đầu tư xây dựng công trình theo quy định pháp luật về đầu tư, đầu tư công, đầu tư theo phương thức đối tác công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theo quy định và phương án thiết kế được lựa chọn kèm theo (nếu có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bản vẽ kèm theo (nếu có) của một trong các loại quy hoạch sau đây: Quy hoạch chi tiết xây dựng được cấp có thẩm quyền phê duyệt; quy hoạch có tính chất kỹ thuật chuyên ngành khác theo quy định của pháp luật về quy hoạch; phương án tuyến công trình, vị trí công trình được cơ quan nhà nước có thẩm quyền chấp thuận; quy hoạch phân khu xây dựng đối với trường hợp không có yêu cầu lập quy hoạch chi tiết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ý kiến về giải pháp phòng cháy, chữa cháy của thiết kế cơ sở; kết quả thực hiện thủ tục về đánh giá tác động môi trường theo quy định của pháp luật về bảo vệ môi trường gửi cơ quan chuyên môn về xây dựng trước thời hạn thông báo kết quả thẩm định. Trường hợp chủ đầu tư có yêu cầu thực hiện thủ tục lấy ý kiến về giải pháp phòng cháy, chữa cháy của thiết kế cơ sở theo cơ chế một cửa liên thông thì chủ đầu tư nộp bổ sung 01 bộ hồ sơ theo quy định của pháp luật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thỏa thuận, xác nhận về đấu nối hạ tầng kỹ thuật của dự án; văn bản chấp thuận độ cao công trình theo quy định của Chính phủ về quản lý độ cao chướng ngại vật hàng không và các trận địa quản lý, bảo vệ vùng trời tại Việt Nam (trường hợp dự án không thuộc khu vực hoặc đối tượng có yêu cầu lấy ý kiến thống nhất về bề mặt quản lý độ cao công trình tại giai đoạn phê duyệt quy hoạch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phê duyệt; thuyết minh Báo cáo nghiên cứu khả thi đầu tư xây dựng; thiết kế cơ sở hoặc thiết kế khác theo thông lệ quốc tế phục vụ lập báo cáo nghiên cứu khả thi đầu tư xây dựng (gồm bản vẽ và thuyết minh); danh mục tiêu chuẩn chủ yếu áp dụng cho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lập tổng mức đầu tư; chủ nhiệm, chủ trì thẩm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 dụng vốn đầu tư công, vốn nhà nước ngoài đầu tư công có yêu cầu xem xét tổng mức đầu tư, hồ sơ trình thẩm định còn phải có các nội dung sau: tổng mức đầu tư; các thông tin, số liệu về giá, định mức có liên quan; báo giá, kết quả thẩm định giá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thuộc Ủy ban nhân dân cấp huyện, 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TTHC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thẩm định Báo cáo nghiên cứu khả thi đầu tư xây dựng/điều chỉnh Báo cáo nghiên cứu khả thi đầu tư kèm theo hồ sơ thiết kế trình thẩm định có đóng dấu thẩm định của cơ quan chuyên môn về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209/2016/TT-BTC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47/2021/TT-BTC</w:t>
            </w:r>
          </w:p>
        </w:tc>
        <w:tc>
          <w:p/>
          <w:p>
            <w:pPr>
              <w:spacing w:after="0" w:before="0" w:lineRule="auto" w:line="276"/>
              <w:jc w:val="left"/>
            </w:pPr>
            <w:r>
              <w:rPr>
                <w:rFonts w:ascii="Times New Roman" w:hAnsi="Times New Roman" w:cs="Times New Roman" w:eastAsia="Times New Roman"/>
                <w:b w:val="false"/>
                <w:sz w:val="26"/>
              </w:rPr>
              <w:t>Thông tư 47/2021/TT-BTC ngày 24/6/2021 của Bộ Tài chính quy định mức thu một số khoản phí, lệ phí nhằm hỗ trợ, tháo gỡ khó khăn cho đối tượng chịu ảnh hưởng bởi dịch Covid-19</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08/2021/QĐ-UBND</w:t>
            </w:r>
          </w:p>
        </w:tc>
        <w:tc>
          <w:p/>
          <w:p>
            <w:pPr>
              <w:spacing w:after="0" w:before="0" w:lineRule="auto" w:line="276"/>
              <w:jc w:val="left"/>
            </w:pPr>
            <w:r>
              <w:rPr>
                <w:rFonts w:ascii="Times New Roman" w:hAnsi="Times New Roman" w:cs="Times New Roman" w:eastAsia="Times New Roman"/>
                <w:b w:val="false"/>
                <w:sz w:val="26"/>
              </w:rPr>
              <w:t>Ban hành Quy định về phân cấp một số nội dung quản lý dự án đầu tư xây dựng trên địa bàn tỉnh Khánh Hòa</w:t>
            </w:r>
          </w:p>
        </w:tc>
        <w:tc>
          <w:p/>
          <w:p>
            <w:pPr>
              <w:spacing w:after="0" w:before="0" w:lineRule="auto" w:line="276"/>
              <w:jc w:val="left"/>
            </w:pPr>
            <w:r>
              <w:rPr>
                <w:rFonts w:ascii="Times New Roman" w:hAnsi="Times New Roman" w:cs="Times New Roman" w:eastAsia="Times New Roman"/>
                <w:b w:val="false"/>
                <w:sz w:val="26"/>
              </w:rPr>
              <w:t>17-08-2021</w:t>
            </w:r>
          </w:p>
        </w:tc>
        <w:tc>
          <w:p/>
          <w:p>
            <w:pPr>
              <w:spacing w:after="0" w:before="0" w:lineRule="auto" w:line="276"/>
              <w:jc w:val="left"/>
            </w:pPr>
            <w:r>
              <w:rPr>
                <w:rFonts w:ascii="Times New Roman" w:hAnsi="Times New Roman" w:cs="Times New Roman" w:eastAsia="Times New Roman"/>
                <w:b w:val="false"/>
                <w:sz w:val="26"/>
              </w:rPr>
              <w:t>UBND tỉnh Khánh Hòa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3 Điều 14 Nghị định số 15/2021/NĐ-CP ngày 03/3/2021 của Chính phủ, đúng quy cách, được trình bày với ngôn ngữ chính là tiếng Việt và được người đề nghị thẩm định kiểm tra, xác nhận. Phần hồ sơ thiết kế kiến trúc trong hồ sơ thiết kế xây dựng (nếu có) phải tuân thủ quy định của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2026-05-14T15:45:14Z</dcterms:created>
  <dc:creator>Apache POI</dc:creator>
</cp:coreProperties>
</file>