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B1	Tiếp nhận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B2	Chuyển hồ sơ cho phòng chuyên môn xử lý</w:t>
      </w:r>
    </w:p>
    <w:p>
      <w:pPr>
        <w:spacing w:after="0" w:before="0" w:lineRule="auto" w:line="276"/>
        <w:jc w:val="both"/>
      </w:pPr>
      <w:r>
        <w:rPr>
          <w:rFonts w:ascii="Times New Roman" w:hAnsi="Times New Roman" w:cs="Times New Roman" w:eastAsia="Times New Roman"/>
          <w:b w:val="false"/>
          <w:sz w:val="26"/>
        </w:rPr>
        <w:t>B3	Duyệt hồ sơ, chuyển cho công chức xử lý.</w:t>
      </w:r>
    </w:p>
    <w:p>
      <w:pPr>
        <w:spacing w:after="0" w:before="0" w:lineRule="auto" w:line="276"/>
        <w:jc w:val="both"/>
      </w:pPr>
      <w:r>
        <w:rPr>
          <w:rFonts w:ascii="Times New Roman" w:hAnsi="Times New Roman" w:cs="Times New Roman" w:eastAsia="Times New Roman"/>
          <w:b w:val="false"/>
          <w:sz w:val="26"/>
        </w:rPr>
        <w:t>B4	Thẩm định hồ sơ:
- Trường hợp hồ sơ không đủ điều kiện thẩm định thì ban hành Văn bản thông báo hồ sơ không đủ điều kiện thẩm định chuyển kèm hồ sơ sang Trung tâm Hành chính công để trả kết quả theo bước B9.
- Trường hợp hồ sơ cần giải trình và bổ sung thêm về chuyên môn thông báo bằng Văn bản cho chủ đầu tư bổ sung, giải trình:
+ Nếu bổ sung giải trình đầy đủ thì dự thảo Giấy phép xây dựng (trong quá trình thẩm định hồ sơ và tham mưu dự thảo giấy phép nếu xét thấy cần thiết phải kiểm tra thực địa hoặc lấy ý kiến các cơ quan liên quan thì tham mưu tổ chức kiểm tra thực địa, văn bản lấy ý kiến các cơ quan). Sau khi có kết quả thực hiện các bước tiếp theo.
+ Nếu không bổ sung, giải trình được thì ban hành Văn bản thông báo hồ sơ không đủ điều kiện thẩm định chuyển kèm hồ sơ sang Trung tâm Hành chính công để trả kết quả theo bước B9.
- Trường hợp, hồ sơ đáp ứng yêu cầu thì dự thảo Giấy phép xây dựng (trong quá trình thẩm định hồ sơ và tham mưu dự thảo giấy phép nếu xét thấy cần thiết phải kiểm tra thực địa hoặc lấy ý kiến các cơ quan liên quan thì tham mưu tổ chức kiểm tra thực địa, văn bản lấy ý kiến các cơ quan). Sau khi có kết quả thực hiện các bước tiếp theo.</w:t>
      </w:r>
    </w:p>
    <w:p>
      <w:pPr>
        <w:spacing w:after="0" w:before="0" w:lineRule="auto" w:line="276"/>
        <w:jc w:val="both"/>
      </w:pPr>
      <w:r>
        <w:rPr>
          <w:rFonts w:ascii="Times New Roman" w:hAnsi="Times New Roman" w:cs="Times New Roman" w:eastAsia="Times New Roman"/>
          <w:b w:val="false"/>
          <w:sz w:val="26"/>
        </w:rPr>
        <w:t>B5	Trên cơ sở kết quả thẩm định hồ sơ, kiểm tra thực địa; ý kiến của các cơ quan liên quan (nếu có):
+ Nếu đủ điều kiện cấp giấy phép thì dự thảo Giấy phép xây dựng trình Lãnh đạo phòng ký nháy.
+ Nếu không đủ điều kiện cấp giấy phép thì dự thảo Văn bản thông báo không đủ điều kiện cấp giấy phép xây dựng trình Lãnh đạo phòng ký nháy.</w:t>
      </w:r>
    </w:p>
    <w:p>
      <w:pPr>
        <w:spacing w:after="0" w:before="0" w:lineRule="auto" w:line="276"/>
        <w:jc w:val="both"/>
      </w:pPr>
      <w:r>
        <w:rPr>
          <w:rFonts w:ascii="Times New Roman" w:hAnsi="Times New Roman" w:cs="Times New Roman" w:eastAsia="Times New Roman"/>
          <w:b w:val="false"/>
          <w:sz w:val="26"/>
        </w:rPr>
        <w:t>B6	Xem xét kết quả giải quyết thủ tục hành chính, ký nháy trên văn bản.</w:t>
      </w:r>
    </w:p>
    <w:p>
      <w:pPr>
        <w:spacing w:after="0" w:before="0" w:lineRule="auto" w:line="276"/>
        <w:jc w:val="both"/>
      </w:pPr>
      <w:r>
        <w:rPr>
          <w:rFonts w:ascii="Times New Roman" w:hAnsi="Times New Roman" w:cs="Times New Roman" w:eastAsia="Times New Roman"/>
          <w:b w:val="false"/>
          <w:sz w:val="26"/>
        </w:rPr>
        <w:t>B7	Phê duyệt kết quả giải quyết thủ tục hành chính.</w:t>
      </w:r>
    </w:p>
    <w:p>
      <w:pPr>
        <w:spacing w:after="0" w:before="0" w:lineRule="auto" w:line="276"/>
        <w:jc w:val="both"/>
      </w:pPr>
      <w:r>
        <w:rPr>
          <w:rFonts w:ascii="Times New Roman" w:hAnsi="Times New Roman" w:cs="Times New Roman" w:eastAsia="Times New Roman"/>
          <w:b w:val="false"/>
          <w:sz w:val="26"/>
        </w:rPr>
        <w:t>B8	Phát hành văn bản và trả kết quả cho Trung tâm hành chính công cấp huyện:
- Đóng dấu UBND cấp huyện vào kết quả giải quyết thủ tục hành chính.
- Đóng dấu đã thẩm định của phòng chuyên môn vào hồ sơ (đối với trường hợp được cấp giấy phép).</w:t>
      </w:r>
    </w:p>
    <w:p>
      <w:pPr>
        <w:spacing w:after="0" w:before="0" w:lineRule="auto" w:line="276"/>
        <w:jc w:val="both"/>
      </w:pPr>
      <w:r>
        <w:rPr>
          <w:rFonts w:ascii="Times New Roman" w:hAnsi="Times New Roman" w:cs="Times New Roman" w:eastAsia="Times New Roman"/>
          <w:b w:val="false"/>
          <w:sz w:val="26"/>
        </w:rPr>
        <w:t>B9	Trả kết quả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60.000 Đồng</w:t>
              <w:t xml:space="preserve"> (Đối với nhà ở)</w:t>
            </w:r>
          </w:p>
          <w:p>
            <w:pPr>
              <w:spacing w:after="0" w:before="0" w:lineRule="auto" w:line="276"/>
              <w:jc w:val="left"/>
            </w:pPr>
            <w:r>
              <w:rPr>
                <w:rFonts w:ascii="Times New Roman" w:hAnsi="Times New Roman" w:cs="Times New Roman" w:eastAsia="Times New Roman"/>
                <w:b w:val="false"/>
                <w:sz w:val="26"/>
              </w:rPr>
              <w:t>Lệ phí : 130.000 Đồng</w:t>
              <w:t xml:space="preserve"> (Đối với công trình)</w:t>
            </w:r>
          </w:p>
        </w:tc>
        <w:tc>
          <w:p/>
          <w:p>
            <w:pPr>
              <w:spacing w:after="0" w:before="0" w:lineRule="auto" w:line="276"/>
              <w:jc w:val="left"/>
            </w:pPr>
            <w:r>
              <w:rPr>
                <w:rFonts w:ascii="Times New Roman" w:hAnsi="Times New Roman" w:cs="Times New Roman" w:eastAsia="Times New Roman"/>
                <w:b w:val="false"/>
                <w:sz w:val="26"/>
              </w:rPr>
              <w:t>Tại Trung tâm Hành chính công cấp huyện (Đối với công trình: 20 ngày kể từ ngày nhận đủ hồ sơ hợp lệ; Đối với nhà ở: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60.000 Đồng</w:t>
              <w:t xml:space="preserve"> (Đối với nhà ở)</w:t>
            </w:r>
          </w:p>
          <w:p>
            <w:pPr>
              <w:spacing w:after="0" w:before="0" w:lineRule="auto" w:line="276"/>
              <w:jc w:val="left"/>
            </w:pPr>
            <w:r>
              <w:rPr>
                <w:rFonts w:ascii="Times New Roman" w:hAnsi="Times New Roman" w:cs="Times New Roman" w:eastAsia="Times New Roman"/>
                <w:b w:val="false"/>
                <w:sz w:val="26"/>
              </w:rPr>
              <w:t>Lệ phí : 130.000 Đồng</w:t>
              <w:t xml:space="preserve"> (Đối với công trình)</w:t>
            </w:r>
          </w:p>
        </w:tc>
        <w:tc>
          <w:p/>
          <w:p>
            <w:pPr>
              <w:spacing w:after="0" w:before="0" w:lineRule="auto" w:line="276"/>
              <w:jc w:val="left"/>
            </w:pPr>
            <w:r>
              <w:rPr>
                <w:rFonts w:ascii="Times New Roman" w:hAnsi="Times New Roman" w:cs="Times New Roman" w:eastAsia="Times New Roman"/>
                <w:b w:val="false"/>
                <w:sz w:val="26"/>
              </w:rPr>
              <w:t>Qua Cổng dịch vụ công trực tuyến: http://dichvucong.hatinh.gov.vn (Đối với công trình: 20 ngày kể từ ngày nhận đủ hồ sơ hợp lệ; Đối với nhà ở: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60.000 Đồng</w:t>
              <w:t xml:space="preserve"> (Đối với nhà ở)</w:t>
            </w:r>
          </w:p>
          <w:p>
            <w:pPr>
              <w:spacing w:after="0" w:before="0" w:lineRule="auto" w:line="276"/>
              <w:jc w:val="left"/>
            </w:pPr>
            <w:r>
              <w:rPr>
                <w:rFonts w:ascii="Times New Roman" w:hAnsi="Times New Roman" w:cs="Times New Roman" w:eastAsia="Times New Roman"/>
                <w:b w:val="false"/>
                <w:sz w:val="26"/>
              </w:rPr>
              <w:t>Lệ phí : 130.000 Đồng</w:t>
              <w:t xml:space="preserve"> (Đối với công trình)</w:t>
            </w:r>
          </w:p>
        </w:tc>
        <w:tc>
          <w:p/>
          <w:p>
            <w:pPr>
              <w:spacing w:after="0" w:before="0" w:lineRule="auto" w:line="276"/>
              <w:jc w:val="left"/>
            </w:pPr>
            <w:r>
              <w:rPr>
                <w:rFonts w:ascii="Times New Roman" w:hAnsi="Times New Roman" w:cs="Times New Roman" w:eastAsia="Times New Roman"/>
                <w:b w:val="false"/>
                <w:sz w:val="26"/>
              </w:rPr>
              <w:t>Qua dịch vụ bưu chính (Đối với công trình: 20 ngày kể từ ngày nhận đủ hồ sơ hợp lệ; Đối với nhà ở: 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sửa chữa, cải tạo công trình, nhà ở theo mẫu;</w:t>
            </w:r>
          </w:p>
        </w:tc>
        <w:tc>
          <w:p/>
          <w:p>
            <w:pPr>
              <w:spacing w:after="0" w:before="0" w:lineRule="auto" w:line="276"/>
              <w:jc w:val="left"/>
            </w:pPr>
            <w:r>
              <w:rPr>
                <w:rFonts w:ascii="Times New Roman" w:hAnsi="Times New Roman" w:cs="Times New Roman" w:eastAsia="Times New Roman"/>
                <w:b w:val="false"/>
                <w:sz w:val="26"/>
              </w:rPr>
              <w:t>PL1-Don de nghi cap giay phep sua chua,cai tao cong trinh, nha 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về quyền sở hữu, quản lý, sử dụng công trình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Hồ sơ thiết kế sửa chữa, cải tạo tương ứng với mỗi loại công trình theo quy định tại Điều 43 hoặc Điều 46 Nghị định số 15/2021/NĐ-CP ngày 03/3/2021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Đối với các công trình di tích lịch sử - văn hóa và danh lam, thắng cảnh đã được xếp hạng thì phải có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26/2016/NQ-HĐND</w:t>
            </w:r>
          </w:p>
        </w:tc>
        <w:tc>
          <w:p/>
          <w:p>
            <w:pPr>
              <w:spacing w:after="0" w:before="0" w:lineRule="auto" w:line="276"/>
              <w:jc w:val="left"/>
            </w:pPr>
            <w:r>
              <w:rPr>
                <w:rFonts w:ascii="Times New Roman" w:hAnsi="Times New Roman" w:cs="Times New Roman" w:eastAsia="Times New Roman"/>
                <w:b w:val="false"/>
                <w:sz w:val="26"/>
              </w:rPr>
              <w:t>Nghị quyết 26/2016/NQ-HĐND của HĐND tỉnh Hà Tĩnh Quy định về mức thu, miễn, giảm, thu, nộp, quản lý và sử dụng các khoản phí, lệ phí thuộc thẩm quyền của Hội đồng nhân dân tỉnh trên địa bàn tỉnh Hà Tĩnh</w:t>
            </w:r>
          </w:p>
        </w:tc>
        <w:tc>
          <w:p/>
          <w:p>
            <w:pPr>
              <w:spacing w:after="0" w:before="0" w:lineRule="auto" w:line="276"/>
              <w:jc w:val="left"/>
            </w:pPr>
            <w:r>
              <w:rPr>
                <w:rFonts w:ascii="Times New Roman" w:hAnsi="Times New Roman" w:cs="Times New Roman" w:eastAsia="Times New Roman"/>
                <w:b w:val="false"/>
                <w:sz w:val="26"/>
              </w:rPr>
              <w:t>15-12-2016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47/2021/TT-BTC</w:t>
            </w:r>
          </w:p>
        </w:tc>
        <w:tc>
          <w:p/>
          <w:p>
            <w:pPr>
              <w:spacing w:after="0" w:before="0" w:lineRule="auto" w:line="276"/>
              <w:jc w:val="left"/>
            </w:pPr>
            <w:r>
              <w:rPr>
                <w:rFonts w:ascii="Times New Roman" w:hAnsi="Times New Roman" w:cs="Times New Roman" w:eastAsia="Times New Roman"/>
                <w:b w:val="false"/>
                <w:sz w:val="26"/>
              </w:rPr>
              <w:t>Thông tư 47/2021/TT-BTC ngày 24/6/2021 của Bộ Tài chính quy định mức thu một số khoản phí, lệ phí nhằm hỗ trợ, tháo gỡ khó khăn cho đối tượng chịu ảnh hưởng bởi dịch Covid-19</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chưa có quy hoạch đô thị, quy hoạch xây dựng khu chức năng hoặc quy hoạch chi tiết xây dựng điểm dân cư nông thôn thì quy hoạch có tính chất kỹ thuật, chuyên ngành có liên quan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Công trình thuộc dự án đầu tư xây dựng không yêu cầu lập quy hoạch chi tiết xây dựng theo quy định của pháp luật về quy hoạch, công trình thuộc dự án đầu tư xây dựng do một chủ đầu tư tổ chức thực hiện có quy mô nhỏ hơn 05 héc ta (nhỏ hơn 02 héc ta đối với dự án đầu tư xây dựng nhà ở chung cư) thì quy hoạch phân khu xây dựng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2026-05-19T12:37:18Z</dcterms:created>
  <dc:creator>Apache POI</dc:creator>
</cp:coreProperties>
</file>