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chặt hạ, dịch chuyển cây xanh đô thị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Hạ tầng kỹ thuật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B1	Tiếp nhận hồ sơ: - Nếu hồ sơ đầy đủ, hợp lệ làm thủ tục tiếp nhận hồ sơ và hẹn ngày trả kết quả. - Nếu hồ sơ chưa đầy đủ, hợp lệ thì yêu cầu tổ chức, cá nhân bổ sung, hoàn thiện hồ sơ.	Nếu không bổ sung, hoàn thiện được thì từ chối tiếp nhận hồ sơ.</w:t>
      </w:r>
    </w:p>
    <w:p>
      <w:pPr>
        <w:spacing w:after="0" w:before="0" w:lineRule="auto" w:line="276"/>
        <w:jc w:val="both"/>
      </w:pPr>
      <w:r>
        <w:rPr>
          <w:rFonts w:ascii="Times New Roman" w:hAnsi="Times New Roman" w:cs="Times New Roman" w:eastAsia="Times New Roman"/>
          <w:b w:val="false"/>
          <w:sz w:val="26"/>
        </w:rPr>
        <w:t>B2	Chuyển hồ sơ cho phòng chuyên môn xử lý</w:t>
      </w:r>
    </w:p>
    <w:p>
      <w:pPr>
        <w:spacing w:after="0" w:before="0" w:lineRule="auto" w:line="276"/>
        <w:jc w:val="both"/>
      </w:pPr>
      <w:r>
        <w:rPr>
          <w:rFonts w:ascii="Times New Roman" w:hAnsi="Times New Roman" w:cs="Times New Roman" w:eastAsia="Times New Roman"/>
          <w:b w:val="false"/>
          <w:sz w:val="26"/>
        </w:rPr>
        <w:t>B3	Duyệt hồ sơ, chuyển cho công chức xử lý.</w:t>
      </w:r>
    </w:p>
    <w:p>
      <w:pPr>
        <w:spacing w:after="0" w:before="0" w:lineRule="auto" w:line="276"/>
        <w:jc w:val="both"/>
      </w:pPr>
      <w:r>
        <w:rPr>
          <w:rFonts w:ascii="Times New Roman" w:hAnsi="Times New Roman" w:cs="Times New Roman" w:eastAsia="Times New Roman"/>
          <w:b w:val="false"/>
          <w:sz w:val="26"/>
        </w:rPr>
        <w:t>B4	Thẩm định hồ sơ:
- Trường hợp hồ sơ không đáp ứng yêu cầu dự thảo Văn bản thông báo không đủ điều kiện cấp Giấy phép trình Lãnh đạo phòng ký nháy.
- Trường hợp hồ sơ cần giải trình và bổ sung thêm về chuyên môn thông báo bằng văn bản cho tổ chức, cá nhân bổ sung, giải trình. Nếu bổ sung giải trình đầy đủ thì dự thảo Giấy phép; Nếu không bổ sung, giải trình được thì dự thảo Văn bản thông báo không đủ điều kiện cấp Giấy phép, trình lãnh đạo phòng ký nháy.
- Trường hợp, hồ sơ đáp ứng yêu cầu, dự thảo Giấy phép, trình lãnh đạo phòng ký nháy.</w:t>
      </w:r>
    </w:p>
    <w:p>
      <w:pPr>
        <w:spacing w:after="0" w:before="0" w:lineRule="auto" w:line="276"/>
        <w:jc w:val="both"/>
      </w:pPr>
      <w:r>
        <w:rPr>
          <w:rFonts w:ascii="Times New Roman" w:hAnsi="Times New Roman" w:cs="Times New Roman" w:eastAsia="Times New Roman"/>
          <w:b w:val="false"/>
          <w:sz w:val="26"/>
        </w:rPr>
        <w:t>B5	Xem xét kết quả giải quyết thủ tục hành chính, ký nháy trên văn bản.</w:t>
      </w:r>
    </w:p>
    <w:p>
      <w:pPr>
        <w:spacing w:after="0" w:before="0" w:lineRule="auto" w:line="276"/>
        <w:jc w:val="both"/>
      </w:pPr>
      <w:r>
        <w:rPr>
          <w:rFonts w:ascii="Times New Roman" w:hAnsi="Times New Roman" w:cs="Times New Roman" w:eastAsia="Times New Roman"/>
          <w:b w:val="false"/>
          <w:sz w:val="26"/>
        </w:rPr>
        <w:t>B6	Phê duyệt kết quả giải quyết thủ tục hành chính.</w:t>
      </w:r>
    </w:p>
    <w:p>
      <w:pPr>
        <w:spacing w:after="0" w:before="0" w:lineRule="auto" w:line="276"/>
        <w:jc w:val="both"/>
      </w:pPr>
      <w:r>
        <w:rPr>
          <w:rFonts w:ascii="Times New Roman" w:hAnsi="Times New Roman" w:cs="Times New Roman" w:eastAsia="Times New Roman"/>
          <w:b w:val="false"/>
          <w:sz w:val="26"/>
        </w:rPr>
        <w:t>B7	Phát hành văn bản và trả kết quả cho Trung tâm Hành chính công để trả kết quả.</w:t>
      </w:r>
    </w:p>
    <w:p>
      <w:pPr>
        <w:spacing w:after="0" w:before="0" w:lineRule="auto" w:line="276"/>
        <w:jc w:val="both"/>
      </w:pPr>
      <w:r>
        <w:rPr>
          <w:rFonts w:ascii="Times New Roman" w:hAnsi="Times New Roman" w:cs="Times New Roman" w:eastAsia="Times New Roman"/>
          <w:b w:val="false"/>
          <w:sz w:val="26"/>
        </w:rPr>
        <w:t>B8	Trả kết quả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Tại Trung tâm Hành chính công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Qua Cổng dịch vụ công trực tuyến: http://dichvucong.hatinh.gov.vn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nêu rõ vị trí chặt hạ, dịch chuyển, kích thước, loại cây và lý do cần chặt hạ, dịch chuyển cây xanh đô thị (Phụ lục I - Nghị định số 64/2010/NĐ-CP). - Sơ đồ vị trí cây xanh đô thị cần chặt hạ, dịch chuyển. - Ảnh chụp hiện trạng cây xanh cần chặt hạ, dịch chuyển.</w:t>
            </w:r>
          </w:p>
        </w:tc>
        <w:tc>
          <w:p/>
          <w:p>
            <w:pPr>
              <w:spacing w:after="0" w:before="0" w:lineRule="auto" w:line="276"/>
              <w:jc w:val="left"/>
            </w:pPr>
            <w:r>
              <w:rPr>
                <w:rFonts w:ascii="Times New Roman" w:hAnsi="Times New Roman" w:cs="Times New Roman" w:eastAsia="Times New Roman"/>
                <w:b w:val="false"/>
                <w:sz w:val="26"/>
              </w:rPr>
              <w:t>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chặt hạ, di chuyển cây xanh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64/2010/NĐ-CP </w:t>
            </w:r>
          </w:p>
        </w:tc>
        <w:tc>
          <w:p/>
          <w:p>
            <w:pPr>
              <w:spacing w:after="0" w:before="0" w:lineRule="auto" w:line="276"/>
              <w:jc w:val="left"/>
            </w:pPr>
            <w:r>
              <w:rPr>
                <w:rFonts w:ascii="Times New Roman" w:hAnsi="Times New Roman" w:cs="Times New Roman" w:eastAsia="Times New Roman"/>
                <w:b w:val="false"/>
                <w:sz w:val="26"/>
              </w:rPr>
              <w:t>Về quản lý cây xanh đô thị</w:t>
            </w:r>
          </w:p>
        </w:tc>
        <w:tc>
          <w:p/>
          <w:p>
            <w:pPr>
              <w:spacing w:after="0" w:before="0" w:lineRule="auto" w:line="276"/>
              <w:jc w:val="left"/>
            </w:pPr>
            <w:r>
              <w:rPr>
                <w:rFonts w:ascii="Times New Roman" w:hAnsi="Times New Roman" w:cs="Times New Roman" w:eastAsia="Times New Roman"/>
                <w:b w:val="false"/>
                <w:sz w:val="26"/>
              </w:rPr>
              <w:t>11-06-2010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30/2009/QH12 </w:t>
            </w:r>
          </w:p>
        </w:tc>
        <w:tc>
          <w:p/>
          <w:p>
            <w:pPr>
              <w:spacing w:after="0" w:before="0" w:lineRule="auto" w:line="276"/>
              <w:jc w:val="left"/>
            </w:pPr>
            <w:r>
              <w:rPr>
                <w:rFonts w:ascii="Times New Roman" w:hAnsi="Times New Roman" w:cs="Times New Roman" w:eastAsia="Times New Roman"/>
                <w:b w:val="false"/>
                <w:sz w:val="26"/>
              </w:rPr>
              <w:t>Luật Quy hoạch Đô thị</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Cây xanh đô thị thuộc trong các đối tượng sau: Cây đã chết, đã bị đổ gãy hoặc có nguy cơ gãy đổ gây nguy hiểm; Cây xanh bị bệnh hoặc đến tuổi già cỗi không đảm bảo an toàn; Cây xanh trong các khu vực thực hiện dự án đầu tư xây dựng công trình.
- Cây xanh đô thị thuộc các trường hợp sau: Cây xanh thuộc danh mục cây bảo tồn; cây bóng mát trên đường phố; cây bóng mát; cây bảo tồn; cây đã được đánh số, treo biển trong công viên, vườn hoa, các khu vực công cộng và các khu vực thực hiện dự án đầu tư xây dựng công trình; cây bóng mát có chiều cao từ 10 m trở lên; cây bảo tồn trong khuôn viên của các tổ chức, cá nhân.
- Chặt hạ, di dời cây xanh công cộng là cây cổ thụ, cây được bảo tồn trồng mới cây khác chủng loài đã được quy hoạch trên cùng tuyến đường, tại những khu vực công trình có yêu cầu cao về kiến trúc, cảnh quan đô thị, phải được sự chấp thuận của UBND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2026-05-02T16:51:50Z</dcterms:created>
  <dc:creator>Apache POI</dc:creator>
</cp:coreProperties>
</file>