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1.002028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2349/QĐ-NHNN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Báo cáo về việc thay đổi tên, địa điểm đặt trụ sở văn phòng đại diện, đơn vị sự nghiệp ở trong nước; chi nhánh, văn phòng đại diện, ngân hàng 100% vốn ở nước ngoài của ngân hàng thương mại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ngân hàng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Ngân hàng thương mại quyết định việc thay đổi tên, địa điểm đặt trụ sở văn phòng đại diện, đơn vị sự nghiệp ở trong nước; chi nhánh, văn phòng đại diện, ngân hàng 100% vốn ở nước ngoài; có văn bản báo cáo Ngân hàng Nhà nước (Cơ quan thanh tra, giám sát ngân hàng), Ngân hàng Nhà nước chi nhánh nơi đặt trụ sở chính của ngân hàng thương mại và Ngân hàng Nhà nước chi nhánh nơi đặt văn phòng đại diện, đơn vị sự nghiệp ở trong nước về việc thay đổi này trong thời hạn 05 ngày làm việc kể từ ngày chi nhánh, văn phòng đại diện, đơn vị sự nghiệp ở trong nước; chi nhánh, văn phòng đại diện, ngân hàng 100% vốn ở nước ngoài hoạt động theo tên, địa điểm đặt trụ sở mới.
Trường hợp thay đổi địa điểm đặt trụ sở văn phòng đại diện, đơn vị sự nghiệp ở trong nước khác địa bàn tỉnh, thành phố trực thuộc Trung ương, ngân hàng thương mại có trách nhiệm báo cáo Ngân hàng Nhà nước chi nhánh nơi đặt trụ sở văn phòng đại diện, đơn vị sự nghiệp trước đây và nơi đặt trụ sở văn phòng đại diện, đơn vị sự nghiệp mới.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báo cáo Ngân hàng Nhà nước (Cơ quan thanh tra, giám sát ngân hàng), Ngân hàng Nhà nước chi nhánh nơi đặt trụ sở chính của ngân hàng thương mại và Ngân hàng Nhà nước chi nhánh nơi đặt văn phòng đại diện, đơn vị sự nghiệp ở trong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Nhà nước Việt Nam, Ngân hàng Nhà nước Chi nhánh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Ngân hàng Nhà nước Việt Nam</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Ngân hàng Nhà nước VN/ NHNN chi nhánh tỉnh, thành phố</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Tờ khai hải quan (tờ khai vận chuyển độc lập) được phê duyệt.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47/2010/QH12</w:t>
            </w:r>
          </w:p>
        </w:tc>
        <w:tc>
          <w:p/>
          <w:p>
            <w:pPr>
              <w:spacing w:after="0" w:before="0" w:lineRule="auto" w:line="276"/>
              <w:jc w:val="left"/>
            </w:pPr>
            <w:r>
              <w:rPr>
                <w:rFonts w:ascii="Times New Roman" w:hAnsi="Times New Roman" w:cs="Times New Roman" w:eastAsia="Times New Roman"/>
                <w:b w:val="false"/>
                <w:sz w:val="26"/>
              </w:rPr>
              <w:t>Luật 47/2010/QH12</w:t>
            </w:r>
          </w:p>
        </w:tc>
        <w:tc>
          <w:p/>
          <w:p>
            <w:pPr>
              <w:spacing w:after="0" w:before="0" w:lineRule="auto" w:line="276"/>
              <w:jc w:val="left"/>
            </w:pPr>
            <w:r>
              <w:rPr>
                <w:rFonts w:ascii="Times New Roman" w:hAnsi="Times New Roman" w:cs="Times New Roman" w:eastAsia="Times New Roman"/>
                <w:b w:val="false"/>
                <w:sz w:val="26"/>
              </w:rPr>
              <w:t>16-06-2010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21/2013/TT-NHNN</w:t>
            </w:r>
          </w:p>
        </w:tc>
        <w:tc>
          <w:p/>
          <w:p>
            <w:pPr>
              <w:spacing w:after="0" w:before="0" w:lineRule="auto" w:line="276"/>
              <w:jc w:val="left"/>
            </w:pPr>
            <w:r>
              <w:rPr>
                <w:rFonts w:ascii="Times New Roman" w:hAnsi="Times New Roman" w:cs="Times New Roman" w:eastAsia="Times New Roman"/>
                <w:b w:val="false"/>
                <w:sz w:val="26"/>
              </w:rPr>
              <w:t>Thông tư 21/2013/TT-NHNN</w:t>
            </w:r>
          </w:p>
        </w:tc>
        <w:tc>
          <w:p/>
          <w:p>
            <w:pPr>
              <w:spacing w:after="0" w:before="0" w:lineRule="auto" w:line="276"/>
              <w:jc w:val="left"/>
            </w:pPr>
            <w:r>
              <w:rPr>
                <w:rFonts w:ascii="Times New Roman" w:hAnsi="Times New Roman" w:cs="Times New Roman" w:eastAsia="Times New Roman"/>
                <w:b w:val="false"/>
                <w:sz w:val="26"/>
              </w:rPr>
              <w:t>09-09-2013</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2026-05-17T10:46:30Z</dcterms:created>
  <dc:creator>Apache POI</dc:creator>
</cp:coreProperties>
</file>