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1.010594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683/QĐ-BGDĐT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thế chủ tịch, thư ký, thành viên hội đồng quản trị trường trung cấp tư thục; chấm dứt hoạt động hội đồng quản trị</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Hội đồng trường tổ chức họp, quyết nghị việc thay thế chủ tịch, thư ký và thành viên hội đồng quản trị. 
Bước 2: Đề nghị thay thế hoặc chấm dứt hoạt động của hội đồng quản trị
- Trường hợp thay thế chủ tịch, thư ký, thành viên hội đồng quản trị: Hội đồng quản trị đương nhiệm lập hồ sơ đề nghị thay thế chủ tịch, thư ký, thành viên hội đồng quản trị.
- Trường hợp chấm dựt hoạt động của hội đồng quản trị: Thành viên duy nhất sở hữu trường lập hồ sơ đề nghị chấm dứt hoạt động của hội đồng quản trị.
Bước 3: Quyết định thay thế hoặc chấm dứt hoạt động của hội đồng quản trị
- Hội đồng quản trị đương nhiệm lập hồ sơ đề nghị thay thế chủ tịch, thư ký, thành viên hội đồng quản trị; thành viên duy nhất sở hữu trường lập hồ sơ đề nghị chấm dứt hoạt động của hội đồng quản trị gửi Sở Giáo dục và Đào tạo.
- Giám đốc Sở Giáo dục và Đào tạo quyết định thay thế chủ tịch, thư ký, thành viên hội đồng quản trị. Trường hợp không đồng ý phải trả lời bằng văn bản và nêu rõ lý do.
- Giám đốc Sở Giáo dục và Đào tạo quyết định chấm dứt hoạt động của hội đồng quản trị. Trường hợp không đồng ý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Hồ sơ đề nghị thay thế chủ tịch, thư ký, thành viên hội đồng quản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thay thế chủ tịch, thư ký, thành viên hội đồng quản trị (Mẫu số 09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hội đồng quản trị về việc thay thế chủ tịch, thư ký, thành viên hội đồng quản trị (Mẫu số 10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Hồ sơ đề nghị chấm dứt hoạt động hội đồng quản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thành viên duy nhất sở hữu trường đề nghị chấm dứt hoạt động của hội đồng quản trị (Mẫu số 11 Phụ lục ban hành kèm theo Thông tư số 14/2021/TT-BLĐTBXH).</w:t>
            </w:r>
          </w:p>
        </w:tc>
        <w:tc>
          <w:p/>
          <w:p>
            <w:pPr>
              <w:spacing w:after="0" w:before="0" w:lineRule="auto" w:line="276"/>
              <w:jc w:val="left"/>
            </w:pPr>
            <w:r>
              <w:rPr>
                <w:rFonts w:ascii="Times New Roman" w:hAnsi="Times New Roman" w:cs="Times New Roman" w:eastAsia="Times New Roman"/>
                <w:b w:val="false"/>
                <w:sz w:val="26"/>
              </w:rPr>
              <w:t>Mau so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Giáo dục và Đào tạo nơi trường đặt trụ sở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thay thế chủ tịch, thư ký, thành viên hội đồng trường trung cấp tư thục; chấm dứt hoạt động hội đồng quản trị</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14/2021/TT-BLĐTBXH</w:t>
            </w:r>
          </w:p>
        </w:tc>
        <w:tc>
          <w:p/>
          <w:p>
            <w:pPr>
              <w:spacing w:after="0" w:before="0" w:lineRule="auto" w:line="276"/>
              <w:jc w:val="left"/>
            </w:pPr>
            <w:r>
              <w:rPr>
                <w:rFonts w:ascii="Times New Roman" w:hAnsi="Times New Roman" w:cs="Times New Roman" w:eastAsia="Times New Roman"/>
                <w:b w:val="false"/>
                <w:sz w:val="26"/>
              </w:rPr>
              <w:t>Quy định Điều lệ trường trung cấp</w:t>
            </w:r>
          </w:p>
        </w:tc>
        <w:tc>
          <w:p/>
          <w:p>
            <w:pPr>
              <w:spacing w:after="0" w:before="0" w:lineRule="auto" w:line="276"/>
              <w:jc w:val="left"/>
            </w:pPr>
            <w:r>
              <w:rPr>
                <w:rFonts w:ascii="Times New Roman" w:hAnsi="Times New Roman" w:cs="Times New Roman" w:eastAsia="Times New Roman"/>
                <w:b w:val="false"/>
                <w:sz w:val="26"/>
              </w:rPr>
              <w:t>21-10-2021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37/2025/NĐ-CP</w:t>
            </w:r>
          </w:p>
        </w:tc>
        <w:tc>
          <w:p/>
          <w:p>
            <w:pPr>
              <w:spacing w:after="0" w:before="0" w:lineRule="auto" w:line="276"/>
              <w:jc w:val="left"/>
            </w:pPr>
            <w:r>
              <w:rPr>
                <w:rFonts w:ascii="Times New Roman" w:hAnsi="Times New Roman" w:cs="Times New Roman" w:eastAsia="Times New Roman"/>
                <w:b w:val="false"/>
                <w:sz w:val="26"/>
              </w:rPr>
              <w:t>Nghị định quy định chức năng, nhiệm vụ, quyền hạn và cơ cấu tổ chức của Bộ Giáo dục và Đào tạo</w:t>
            </w:r>
          </w:p>
        </w:tc>
        <w:tc>
          <w:p/>
          <w:p>
            <w:pPr>
              <w:spacing w:after="0" w:before="0" w:lineRule="auto" w:line="276"/>
              <w:jc w:val="left"/>
            </w:pPr>
            <w:r>
              <w:rPr>
                <w:rFonts w:ascii="Times New Roman" w:hAnsi="Times New Roman" w:cs="Times New Roman" w:eastAsia="Times New Roman"/>
                <w:b w:val="false"/>
                <w:sz w:val="26"/>
              </w:rPr>
              <w:t>26-02-2025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với thay thế chủ tịch, thư ký, thành viên hội đồng quản trị
- Hội đồng quản trị có số lượng thành viên là số lẻ, gồm: Chủ tịch, thư ký và các thành viên.
- Thành phần tham gia hội đồng quản trị theo quy định tại khoản 3 Điều 12 Luật Giáo dục nghề nghiệp, bao gồm: 
+ Đại diện các tổ chức, cá nhân có số lượng cổ phần đóng góp ở mức cần thiết theo quy định.
+ Hiệu trưởng, đại diện cơ quan quản lý địa phương nơi cơ sở giáo dục nghề nghiệp có trụ sở hoặc đại diện cơ sở sản xuất, kinh doanh, dịch vụ có liên quan. 
+ Đại diện tổ chức đảng, đoàn thể; đại diện nhà giáo.
- Chủ tịch hội đồng quản trị là thành viên góp vốn, do hội đồng quản trị bầu trong số các thành viên của hội đồng quản trị theo nguyên tắc đa số, bỏ phiếu kín và phải được trên 50% tổng số thành viên của hội đồng quản trị đồng ý.
- Thư ký hội đồng quản trị do chủ tịch hội đồng quản trị giới thiệu trong số các thành viên của hội đồng quản trị và được hội đồng quản trị thông qua với trên 50% tổng số thành viên của hội đồng quản trị đồng ý.
b) Đối với chấm dứt hoạt động hội đồng quản trị
Có sự thay đổi về thành viên góp vốn từ nhiều thành viên xuống còn 01 thành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2026-05-01T11:29:16Z</dcterms:created>
  <dc:creator>Apache POI</dc:creator>
</cp:coreProperties>
</file>